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7E4E">
      <w:pPr>
        <w:wordWrap w:val="0"/>
        <w:spacing w:before="0" w:after="0" w:line="201" w:lineRule="auto"/>
        <w:ind w:firstLine="880"/>
        <w:jc w:val="both"/>
        <w:rPr>
          <w:sz w:val="65"/>
        </w:rPr>
      </w:pPr>
      <w:r>
        <w:rPr>
          <w:rFonts w:hint="eastAsia" w:ascii="宋体" w:hAnsi="宋体" w:eastAsia="宋体"/>
          <w:color w:val="000000"/>
          <w:sz w:val="65"/>
        </w:rPr>
        <w:t>“浙江制造”认证</w:t>
      </w:r>
      <w:r>
        <w:drawing>
          <wp:anchor distT="0" distB="0" distL="114300" distR="114300" simplePos="0" relativeHeight="251659264" behindDoc="1" locked="0" layoutInCell="1" allowOverlap="1">
            <wp:simplePos x="0" y="0"/>
            <wp:positionH relativeFrom="page">
              <wp:posOffset>4152900</wp:posOffset>
            </wp:positionH>
            <wp:positionV relativeFrom="page">
              <wp:posOffset>7594600</wp:posOffset>
            </wp:positionV>
            <wp:extent cx="1485900" cy="14732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485900" cy="1473200"/>
                    </a:xfrm>
                    <a:prstGeom prst="rect">
                      <a:avLst/>
                    </a:prstGeom>
                  </pic:spPr>
                </pic:pic>
              </a:graphicData>
            </a:graphic>
          </wp:anchor>
        </w:drawing>
      </w:r>
    </w:p>
    <w:p w14:paraId="1421BF85">
      <w:pPr>
        <w:wordWrap w:val="0"/>
        <w:spacing w:before="0" w:after="0" w:line="240" w:lineRule="auto"/>
        <w:ind w:firstLine="0"/>
        <w:jc w:val="both"/>
        <w:rPr>
          <w:rFonts w:hint="eastAsia" w:ascii="宋体" w:hAnsi="宋体" w:eastAsia="宋体"/>
          <w:color w:val="000000"/>
          <w:sz w:val="21"/>
        </w:rPr>
      </w:pPr>
    </w:p>
    <w:p w14:paraId="4B59F537">
      <w:pPr>
        <w:wordWrap w:val="0"/>
        <w:spacing w:before="0" w:after="0" w:line="240" w:lineRule="auto"/>
        <w:ind w:firstLine="0"/>
        <w:jc w:val="both"/>
        <w:rPr>
          <w:rFonts w:hint="eastAsia" w:ascii="宋体" w:hAnsi="宋体" w:eastAsia="宋体"/>
          <w:color w:val="000000"/>
          <w:sz w:val="21"/>
        </w:rPr>
      </w:pPr>
      <w:bookmarkStart w:id="0" w:name="_GoBack"/>
      <w:bookmarkEnd w:id="0"/>
    </w:p>
    <w:p w14:paraId="2B86FE7C">
      <w:pPr>
        <w:wordWrap w:val="0"/>
        <w:spacing w:before="0" w:after="0" w:line="240" w:lineRule="auto"/>
        <w:ind w:firstLine="0"/>
        <w:jc w:val="both"/>
        <w:rPr>
          <w:rFonts w:hint="eastAsia" w:ascii="宋体" w:hAnsi="宋体" w:eastAsia="宋体"/>
          <w:color w:val="000000"/>
          <w:sz w:val="21"/>
        </w:rPr>
      </w:pPr>
    </w:p>
    <w:p w14:paraId="4A5EFC9C">
      <w:pPr>
        <w:wordWrap w:val="0"/>
        <w:spacing w:before="0" w:after="0" w:line="240" w:lineRule="auto"/>
        <w:ind w:firstLine="0"/>
        <w:jc w:val="both"/>
        <w:rPr>
          <w:rFonts w:hint="eastAsia" w:ascii="宋体" w:hAnsi="宋体" w:eastAsia="宋体"/>
          <w:color w:val="000000"/>
          <w:sz w:val="21"/>
        </w:rPr>
      </w:pPr>
    </w:p>
    <w:p w14:paraId="7DB8D7B6">
      <w:pPr>
        <w:wordWrap w:val="0"/>
        <w:spacing w:before="0" w:after="0" w:line="240" w:lineRule="auto"/>
        <w:ind w:firstLine="0"/>
        <w:jc w:val="both"/>
        <w:rPr>
          <w:rFonts w:hint="eastAsia" w:ascii="宋体" w:hAnsi="宋体" w:eastAsia="宋体"/>
          <w:color w:val="000000"/>
          <w:sz w:val="21"/>
        </w:rPr>
      </w:pPr>
    </w:p>
    <w:p w14:paraId="3C4F1456">
      <w:pPr>
        <w:wordWrap w:val="0"/>
        <w:spacing w:before="0" w:after="0" w:line="235" w:lineRule="auto"/>
        <w:jc w:val="center"/>
        <w:rPr>
          <w:sz w:val="66"/>
        </w:rPr>
      </w:pPr>
      <w:r>
        <w:rPr>
          <w:rFonts w:hint="eastAsia" w:ascii="Calibri" w:hAnsi="Calibri" w:eastAsia="Calibri"/>
          <w:color w:val="000000"/>
          <w:sz w:val="66"/>
        </w:rPr>
        <w:t>2024</w:t>
      </w:r>
      <w:r>
        <w:rPr>
          <w:rFonts w:hint="eastAsia" w:ascii="宋体" w:hAnsi="宋体" w:eastAsia="宋体"/>
          <w:color w:val="000000"/>
          <w:sz w:val="66"/>
        </w:rPr>
        <w:t>年社会责任报告</w:t>
      </w:r>
    </w:p>
    <w:p w14:paraId="5C6F406F">
      <w:pPr>
        <w:wordWrap w:val="0"/>
        <w:spacing w:before="0" w:after="0" w:line="240" w:lineRule="auto"/>
        <w:ind w:firstLine="0"/>
        <w:jc w:val="both"/>
        <w:rPr>
          <w:rFonts w:hint="eastAsia" w:ascii="宋体" w:hAnsi="宋体" w:eastAsia="宋体"/>
          <w:color w:val="000000"/>
          <w:sz w:val="21"/>
        </w:rPr>
      </w:pPr>
    </w:p>
    <w:p w14:paraId="5EF82EC1">
      <w:pPr>
        <w:wordWrap w:val="0"/>
        <w:spacing w:before="0" w:after="0" w:line="240" w:lineRule="auto"/>
        <w:ind w:firstLine="0"/>
        <w:jc w:val="both"/>
        <w:rPr>
          <w:rFonts w:hint="eastAsia" w:ascii="宋体" w:hAnsi="宋体" w:eastAsia="宋体"/>
          <w:color w:val="000000"/>
          <w:sz w:val="21"/>
        </w:rPr>
      </w:pPr>
    </w:p>
    <w:p w14:paraId="69F11D47">
      <w:pPr>
        <w:wordWrap w:val="0"/>
        <w:spacing w:before="0" w:after="0" w:line="240" w:lineRule="auto"/>
        <w:ind w:firstLine="0"/>
        <w:jc w:val="both"/>
        <w:rPr>
          <w:rFonts w:hint="eastAsia" w:ascii="宋体" w:hAnsi="宋体" w:eastAsia="宋体"/>
          <w:color w:val="000000"/>
          <w:sz w:val="21"/>
        </w:rPr>
      </w:pPr>
    </w:p>
    <w:p w14:paraId="5ECE33D9">
      <w:pPr>
        <w:wordWrap w:val="0"/>
        <w:spacing w:before="0" w:after="0" w:line="240" w:lineRule="auto"/>
        <w:ind w:firstLine="0"/>
        <w:jc w:val="both"/>
        <w:rPr>
          <w:rFonts w:hint="eastAsia" w:ascii="宋体" w:hAnsi="宋体" w:eastAsia="宋体"/>
          <w:color w:val="000000"/>
          <w:sz w:val="21"/>
        </w:rPr>
      </w:pPr>
    </w:p>
    <w:p w14:paraId="444785EF">
      <w:pPr>
        <w:wordWrap w:val="0"/>
        <w:spacing w:before="0" w:after="0" w:line="240" w:lineRule="auto"/>
        <w:ind w:firstLine="0"/>
        <w:jc w:val="both"/>
        <w:rPr>
          <w:rFonts w:hint="eastAsia" w:ascii="宋体" w:hAnsi="宋体" w:eastAsia="宋体"/>
          <w:color w:val="000000"/>
          <w:sz w:val="21"/>
        </w:rPr>
      </w:pPr>
    </w:p>
    <w:p w14:paraId="5B4EB95B">
      <w:pPr>
        <w:wordWrap w:val="0"/>
        <w:spacing w:before="0" w:after="0" w:line="240" w:lineRule="auto"/>
        <w:ind w:firstLine="0"/>
        <w:jc w:val="both"/>
        <w:rPr>
          <w:rFonts w:hint="eastAsia" w:ascii="宋体" w:hAnsi="宋体" w:eastAsia="宋体"/>
          <w:color w:val="000000"/>
          <w:sz w:val="21"/>
        </w:rPr>
      </w:pPr>
    </w:p>
    <w:p w14:paraId="1A825CBC">
      <w:pPr>
        <w:wordWrap w:val="0"/>
        <w:spacing w:before="0" w:after="0" w:line="240" w:lineRule="auto"/>
        <w:ind w:firstLine="0"/>
        <w:jc w:val="both"/>
        <w:rPr>
          <w:rFonts w:hint="eastAsia" w:ascii="宋体" w:hAnsi="宋体" w:eastAsia="宋体"/>
          <w:color w:val="000000"/>
          <w:sz w:val="21"/>
        </w:rPr>
      </w:pPr>
    </w:p>
    <w:p w14:paraId="206452E2">
      <w:pPr>
        <w:wordWrap w:val="0"/>
        <w:spacing w:before="0" w:after="0" w:line="240" w:lineRule="auto"/>
        <w:ind w:firstLine="0"/>
        <w:jc w:val="both"/>
        <w:rPr>
          <w:rFonts w:hint="eastAsia" w:ascii="宋体" w:hAnsi="宋体" w:eastAsia="宋体"/>
          <w:color w:val="000000"/>
          <w:sz w:val="21"/>
        </w:rPr>
      </w:pPr>
    </w:p>
    <w:p w14:paraId="2ABEEDD3">
      <w:pPr>
        <w:wordWrap w:val="0"/>
        <w:spacing w:before="0" w:after="0" w:line="240" w:lineRule="auto"/>
        <w:ind w:firstLine="0"/>
        <w:jc w:val="both"/>
        <w:rPr>
          <w:rFonts w:hint="eastAsia" w:ascii="宋体" w:hAnsi="宋体" w:eastAsia="宋体"/>
          <w:color w:val="000000"/>
          <w:sz w:val="21"/>
        </w:rPr>
      </w:pPr>
    </w:p>
    <w:p w14:paraId="45FCDF02">
      <w:pPr>
        <w:wordWrap w:val="0"/>
        <w:spacing w:before="0" w:after="0" w:line="240" w:lineRule="auto"/>
        <w:ind w:firstLine="0"/>
        <w:jc w:val="both"/>
        <w:rPr>
          <w:rFonts w:hint="eastAsia" w:ascii="宋体" w:hAnsi="宋体" w:eastAsia="宋体"/>
          <w:color w:val="000000"/>
          <w:sz w:val="21"/>
        </w:rPr>
      </w:pPr>
    </w:p>
    <w:p w14:paraId="7A08AD8F">
      <w:pPr>
        <w:wordWrap w:val="0"/>
        <w:spacing w:before="0" w:after="0" w:line="240" w:lineRule="auto"/>
        <w:ind w:firstLine="0"/>
        <w:jc w:val="both"/>
        <w:rPr>
          <w:rFonts w:hint="eastAsia" w:ascii="宋体" w:hAnsi="宋体" w:eastAsia="宋体"/>
          <w:color w:val="000000"/>
          <w:sz w:val="21"/>
        </w:rPr>
      </w:pPr>
    </w:p>
    <w:p w14:paraId="05808B79">
      <w:pPr>
        <w:wordWrap w:val="0"/>
        <w:spacing w:before="0" w:after="0" w:line="240" w:lineRule="auto"/>
        <w:ind w:firstLine="0"/>
        <w:jc w:val="both"/>
        <w:rPr>
          <w:rFonts w:hint="eastAsia" w:ascii="宋体" w:hAnsi="宋体" w:eastAsia="宋体"/>
          <w:color w:val="000000"/>
          <w:sz w:val="21"/>
        </w:rPr>
      </w:pPr>
    </w:p>
    <w:p w14:paraId="71537A4D">
      <w:pPr>
        <w:wordWrap w:val="0"/>
        <w:spacing w:before="0" w:after="0" w:line="240" w:lineRule="auto"/>
        <w:ind w:firstLine="0"/>
        <w:jc w:val="both"/>
        <w:rPr>
          <w:rFonts w:hint="eastAsia" w:ascii="宋体" w:hAnsi="宋体" w:eastAsia="宋体"/>
          <w:color w:val="000000"/>
          <w:sz w:val="21"/>
        </w:rPr>
      </w:pPr>
    </w:p>
    <w:p w14:paraId="63453AFE">
      <w:pPr>
        <w:wordWrap w:val="0"/>
        <w:spacing w:before="0" w:after="0" w:line="240" w:lineRule="auto"/>
        <w:ind w:firstLine="0"/>
        <w:jc w:val="both"/>
        <w:rPr>
          <w:rFonts w:hint="eastAsia" w:ascii="宋体" w:hAnsi="宋体" w:eastAsia="宋体"/>
          <w:color w:val="000000"/>
          <w:sz w:val="21"/>
        </w:rPr>
      </w:pPr>
    </w:p>
    <w:p w14:paraId="3AC68551">
      <w:pPr>
        <w:wordWrap w:val="0"/>
        <w:spacing w:before="0" w:after="0" w:line="240" w:lineRule="auto"/>
        <w:ind w:firstLine="0"/>
        <w:jc w:val="both"/>
        <w:rPr>
          <w:rFonts w:hint="eastAsia" w:ascii="宋体" w:hAnsi="宋体" w:eastAsia="宋体"/>
          <w:color w:val="000000"/>
          <w:sz w:val="21"/>
        </w:rPr>
      </w:pPr>
    </w:p>
    <w:p w14:paraId="01850DD9">
      <w:pPr>
        <w:wordWrap w:val="0"/>
        <w:spacing w:before="0" w:after="0" w:line="240" w:lineRule="auto"/>
        <w:ind w:firstLine="0"/>
        <w:jc w:val="both"/>
        <w:rPr>
          <w:rFonts w:hint="eastAsia" w:ascii="宋体" w:hAnsi="宋体" w:eastAsia="宋体"/>
          <w:color w:val="000000"/>
          <w:sz w:val="21"/>
        </w:rPr>
      </w:pPr>
    </w:p>
    <w:p w14:paraId="5BD2893A">
      <w:pPr>
        <w:wordWrap w:val="0"/>
        <w:spacing w:before="0" w:after="0" w:line="240" w:lineRule="auto"/>
        <w:ind w:firstLine="0"/>
        <w:jc w:val="both"/>
        <w:rPr>
          <w:rFonts w:hint="eastAsia" w:ascii="宋体" w:hAnsi="宋体" w:eastAsia="宋体"/>
          <w:color w:val="000000"/>
          <w:sz w:val="21"/>
        </w:rPr>
      </w:pPr>
    </w:p>
    <w:p w14:paraId="7DAEA876">
      <w:pPr>
        <w:wordWrap w:val="0"/>
        <w:spacing w:before="0" w:after="0" w:line="240" w:lineRule="auto"/>
        <w:ind w:firstLine="0"/>
        <w:jc w:val="both"/>
        <w:rPr>
          <w:rFonts w:hint="eastAsia" w:ascii="宋体" w:hAnsi="宋体" w:eastAsia="宋体"/>
          <w:color w:val="000000"/>
          <w:sz w:val="21"/>
        </w:rPr>
      </w:pPr>
    </w:p>
    <w:p w14:paraId="7354B897">
      <w:pPr>
        <w:wordWrap w:val="0"/>
        <w:spacing w:before="0" w:after="0" w:line="240" w:lineRule="auto"/>
        <w:ind w:firstLine="0"/>
        <w:jc w:val="both"/>
        <w:rPr>
          <w:rFonts w:hint="eastAsia" w:ascii="宋体" w:hAnsi="宋体" w:eastAsia="宋体"/>
          <w:color w:val="000000"/>
          <w:sz w:val="21"/>
        </w:rPr>
      </w:pPr>
    </w:p>
    <w:p w14:paraId="4F64488A">
      <w:pPr>
        <w:wordWrap w:val="0"/>
        <w:spacing w:before="0" w:after="0" w:line="240" w:lineRule="auto"/>
        <w:ind w:firstLine="0"/>
        <w:jc w:val="both"/>
        <w:rPr>
          <w:rFonts w:hint="eastAsia" w:ascii="宋体" w:hAnsi="宋体" w:eastAsia="宋体"/>
          <w:color w:val="000000"/>
          <w:sz w:val="21"/>
        </w:rPr>
      </w:pPr>
    </w:p>
    <w:p w14:paraId="2E4FA22F">
      <w:pPr>
        <w:wordWrap w:val="0"/>
        <w:spacing w:before="0" w:after="0" w:line="240" w:lineRule="auto"/>
        <w:ind w:firstLine="0"/>
        <w:jc w:val="both"/>
        <w:rPr>
          <w:rFonts w:hint="eastAsia" w:ascii="宋体" w:hAnsi="宋体" w:eastAsia="宋体"/>
          <w:color w:val="000000"/>
          <w:sz w:val="21"/>
        </w:rPr>
      </w:pPr>
    </w:p>
    <w:p w14:paraId="06ED19E8">
      <w:pPr>
        <w:wordWrap w:val="0"/>
        <w:spacing w:before="0" w:after="0" w:line="240" w:lineRule="auto"/>
        <w:ind w:firstLine="0"/>
        <w:jc w:val="both"/>
        <w:rPr>
          <w:rFonts w:hint="eastAsia" w:ascii="宋体" w:hAnsi="宋体" w:eastAsia="宋体"/>
          <w:color w:val="000000"/>
          <w:sz w:val="21"/>
        </w:rPr>
      </w:pPr>
    </w:p>
    <w:p w14:paraId="73EF46DA">
      <w:pPr>
        <w:wordWrap w:val="0"/>
        <w:spacing w:before="0" w:after="0" w:line="240" w:lineRule="auto"/>
        <w:ind w:firstLine="0"/>
        <w:jc w:val="both"/>
        <w:rPr>
          <w:rFonts w:hint="eastAsia" w:ascii="宋体" w:hAnsi="宋体" w:eastAsia="宋体"/>
          <w:color w:val="000000"/>
          <w:sz w:val="21"/>
        </w:rPr>
      </w:pPr>
    </w:p>
    <w:p w14:paraId="3CAE78F1">
      <w:pPr>
        <w:wordWrap w:val="0"/>
        <w:spacing w:before="0" w:after="0" w:line="240" w:lineRule="auto"/>
        <w:ind w:firstLine="0"/>
        <w:jc w:val="both"/>
        <w:rPr>
          <w:rFonts w:hint="eastAsia" w:ascii="宋体" w:hAnsi="宋体" w:eastAsia="宋体"/>
          <w:color w:val="000000"/>
          <w:sz w:val="21"/>
        </w:rPr>
      </w:pPr>
    </w:p>
    <w:p w14:paraId="098FB326">
      <w:pPr>
        <w:wordWrap w:val="0"/>
        <w:spacing w:before="0" w:after="0" w:line="240" w:lineRule="auto"/>
        <w:ind w:firstLine="0"/>
        <w:jc w:val="both"/>
        <w:rPr>
          <w:rFonts w:hint="eastAsia" w:ascii="宋体" w:hAnsi="宋体" w:eastAsia="宋体"/>
          <w:color w:val="000000"/>
          <w:sz w:val="21"/>
        </w:rPr>
      </w:pPr>
    </w:p>
    <w:p w14:paraId="3DE71BD3">
      <w:pPr>
        <w:wordWrap w:val="0"/>
        <w:spacing w:before="0" w:after="0" w:line="191" w:lineRule="auto"/>
        <w:jc w:val="center"/>
        <w:rPr>
          <w:sz w:val="47"/>
        </w:rPr>
      </w:pPr>
      <w:r>
        <w:rPr>
          <w:rFonts w:hint="eastAsia" w:ascii="宋体" w:hAnsi="宋体" w:eastAsia="宋体"/>
          <w:color w:val="000000"/>
          <w:sz w:val="47"/>
        </w:rPr>
        <w:t>浙江锦霖运动科技有限公司</w:t>
      </w:r>
    </w:p>
    <w:p w14:paraId="7361F462">
      <w:pPr>
        <w:wordWrap w:val="0"/>
        <w:spacing w:before="0" w:after="0" w:line="240" w:lineRule="auto"/>
        <w:ind w:firstLine="1940"/>
        <w:jc w:val="both"/>
        <w:rPr>
          <w:sz w:val="47"/>
        </w:rPr>
        <w:sectPr>
          <w:headerReference r:id="rId3" w:type="default"/>
          <w:footerReference r:id="rId4" w:type="default"/>
          <w:type w:val="continuous"/>
          <w:pgSz w:w="11900" w:h="16780"/>
          <w:pgMar w:top="2640" w:right="2880" w:bottom="2880" w:left="2880" w:header="1320" w:footer="1440" w:gutter="0"/>
          <w:cols w:space="720" w:num="1"/>
        </w:sectPr>
      </w:pPr>
      <w:r>
        <w:rPr>
          <w:rFonts w:hint="eastAsia" w:ascii="Calibri" w:hAnsi="Calibri" w:eastAsia="Calibri"/>
          <w:color w:val="000000"/>
          <w:sz w:val="47"/>
        </w:rPr>
        <w:t>2025</w:t>
      </w:r>
      <w:r>
        <w:rPr>
          <w:rFonts w:hint="eastAsia" w:ascii="宋体" w:hAnsi="宋体" w:eastAsia="宋体"/>
          <w:color w:val="000000"/>
          <w:sz w:val="47"/>
        </w:rPr>
        <w:t>年</w:t>
      </w:r>
      <w:r>
        <w:rPr>
          <w:rFonts w:hint="eastAsia" w:ascii="Calibri" w:hAnsi="Calibri" w:eastAsia="Calibri"/>
          <w:color w:val="000000"/>
          <w:sz w:val="47"/>
        </w:rPr>
        <w:t>5</w:t>
      </w:r>
      <w:r>
        <w:rPr>
          <w:rFonts w:hint="eastAsia" w:ascii="宋体" w:hAnsi="宋体" w:eastAsia="宋体"/>
          <w:color w:val="000000"/>
          <w:sz w:val="47"/>
        </w:rPr>
        <w:t>月</w:t>
      </w:r>
    </w:p>
    <w:p w14:paraId="50243820">
      <w:pPr>
        <w:wordWrap w:val="0"/>
        <w:spacing w:before="0" w:after="0" w:line="191" w:lineRule="auto"/>
        <w:ind w:firstLine="2960"/>
        <w:jc w:val="both"/>
        <w:rPr>
          <w:sz w:val="46"/>
        </w:rPr>
      </w:pPr>
      <w:r>
        <w:rPr>
          <w:rFonts w:hint="eastAsia" w:ascii="宋体" w:hAnsi="宋体" w:eastAsia="宋体"/>
          <w:b/>
          <w:color w:val="000000"/>
          <w:sz w:val="46"/>
        </w:rPr>
        <w:t>社会责任报告</w:t>
      </w:r>
      <w:r>
        <w:drawing>
          <wp:anchor distT="0" distB="0" distL="114300" distR="114300" simplePos="0" relativeHeight="251659264" behindDoc="1" locked="0" layoutInCell="1" allowOverlap="1">
            <wp:simplePos x="0" y="0"/>
            <wp:positionH relativeFrom="page">
              <wp:posOffset>7099300</wp:posOffset>
            </wp:positionH>
            <wp:positionV relativeFrom="page">
              <wp:posOffset>6350000</wp:posOffset>
            </wp:positionV>
            <wp:extent cx="203200" cy="1143000"/>
            <wp:effectExtent l="0" t="0" r="2540" b="4445"/>
            <wp:wrapNone/>
            <wp:docPr id="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MP"/>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03200" cy="1143000"/>
                    </a:xfrm>
                    <a:prstGeom prst="rect">
                      <a:avLst/>
                    </a:prstGeom>
                  </pic:spPr>
                </pic:pic>
              </a:graphicData>
            </a:graphic>
          </wp:anchor>
        </w:drawing>
      </w:r>
    </w:p>
    <w:p w14:paraId="6DC22B8E">
      <w:pPr>
        <w:wordWrap w:val="0"/>
        <w:spacing w:before="0" w:after="0" w:line="240" w:lineRule="auto"/>
        <w:ind w:firstLine="0"/>
        <w:jc w:val="both"/>
        <w:rPr>
          <w:rFonts w:hint="eastAsia" w:ascii="宋体" w:hAnsi="宋体" w:eastAsia="宋体"/>
          <w:color w:val="000000"/>
          <w:sz w:val="21"/>
        </w:rPr>
      </w:pPr>
    </w:p>
    <w:p w14:paraId="0D48AA8B">
      <w:pPr>
        <w:wordWrap w:val="0"/>
        <w:spacing w:before="0" w:after="0" w:line="312" w:lineRule="auto"/>
        <w:ind w:left="900" w:right="360" w:hanging="760"/>
        <w:jc w:val="both"/>
        <w:rPr>
          <w:sz w:val="29"/>
        </w:rPr>
      </w:pPr>
      <w:r>
        <w:rPr>
          <w:rFonts w:hint="eastAsia" w:ascii="宋体" w:hAnsi="宋体" w:eastAsia="宋体"/>
          <w:color w:val="000000"/>
          <w:sz w:val="29"/>
        </w:rPr>
        <w:t>一、浙江锦霖运动科技有限公司是一家集研发、生产、销售高端健康休闲用品为一体的国家高新技术企业。公司坐落在中国五金之都一浙江水康。成立于</w:t>
      </w:r>
      <w:r>
        <w:rPr>
          <w:rFonts w:hint="eastAsia" w:ascii="Calibri" w:hAnsi="Calibri" w:eastAsia="Calibri"/>
          <w:color w:val="000000"/>
          <w:sz w:val="29"/>
        </w:rPr>
        <w:t>2015</w:t>
      </w:r>
      <w:r>
        <w:rPr>
          <w:rFonts w:hint="eastAsia" w:ascii="宋体" w:hAnsi="宋体" w:eastAsia="宋体"/>
          <w:color w:val="000000"/>
          <w:sz w:val="29"/>
        </w:rPr>
        <w:t>年，注册资本</w:t>
      </w:r>
      <w:r>
        <w:rPr>
          <w:rFonts w:hint="eastAsia" w:ascii="Calibri" w:hAnsi="Calibri" w:eastAsia="Calibri"/>
          <w:color w:val="000000"/>
          <w:sz w:val="29"/>
        </w:rPr>
        <w:t>1000</w:t>
      </w:r>
      <w:r>
        <w:rPr>
          <w:rFonts w:hint="eastAsia" w:ascii="宋体" w:hAnsi="宋体" w:eastAsia="宋体"/>
          <w:color w:val="000000"/>
          <w:sz w:val="29"/>
        </w:rPr>
        <w:t>万元。主要生产电动自行车、锂电休闲车、电动滑板休闲车、滑板车、全地形车、越野车系列产品。热销全球</w:t>
      </w:r>
      <w:r>
        <w:rPr>
          <w:rFonts w:hint="eastAsia" w:ascii="Calibri" w:hAnsi="Calibri" w:eastAsia="Calibri"/>
          <w:color w:val="000000"/>
          <w:sz w:val="29"/>
        </w:rPr>
        <w:t>30</w:t>
      </w:r>
      <w:r>
        <w:rPr>
          <w:rFonts w:hint="eastAsia" w:ascii="宋体" w:hAnsi="宋体" w:eastAsia="宋体"/>
          <w:color w:val="000000"/>
          <w:sz w:val="29"/>
        </w:rPr>
        <w:t>多个国家。公司现有厂房</w:t>
      </w:r>
      <w:r>
        <w:rPr>
          <w:rFonts w:hint="eastAsia" w:ascii="Calibri" w:hAnsi="Calibri" w:eastAsia="Calibri"/>
          <w:color w:val="000000"/>
          <w:sz w:val="29"/>
        </w:rPr>
        <w:t>14000</w:t>
      </w:r>
      <w:r>
        <w:rPr>
          <w:rFonts w:hint="eastAsia" w:ascii="宋体" w:hAnsi="宋体" w:eastAsia="宋体"/>
          <w:color w:val="000000"/>
          <w:sz w:val="29"/>
        </w:rPr>
        <w:t>平方米，现有员工</w:t>
      </w:r>
      <w:r>
        <w:rPr>
          <w:rFonts w:hint="eastAsia" w:ascii="Calibri" w:hAnsi="Calibri" w:eastAsia="Calibri"/>
          <w:color w:val="000000"/>
          <w:sz w:val="29"/>
        </w:rPr>
        <w:t>110</w:t>
      </w:r>
      <w:r>
        <w:rPr>
          <w:rFonts w:hint="eastAsia" w:ascii="宋体" w:hAnsi="宋体" w:eastAsia="宋体"/>
          <w:color w:val="000000"/>
          <w:sz w:val="29"/>
        </w:rPr>
        <w:t>人，其中专业技术工程师</w:t>
      </w:r>
      <w:r>
        <w:rPr>
          <w:rFonts w:hint="eastAsia" w:ascii="Calibri" w:hAnsi="Calibri" w:eastAsia="Calibri"/>
          <w:color w:val="000000"/>
          <w:sz w:val="29"/>
        </w:rPr>
        <w:t>15</w:t>
      </w:r>
      <w:r>
        <w:rPr>
          <w:rFonts w:hint="eastAsia" w:ascii="宋体" w:hAnsi="宋体" w:eastAsia="宋体"/>
          <w:color w:val="000000"/>
          <w:sz w:val="29"/>
        </w:rPr>
        <w:t>名，先后获得设计专利</w:t>
      </w:r>
      <w:r>
        <w:rPr>
          <w:rFonts w:hint="eastAsia" w:ascii="Calibri" w:hAnsi="Calibri" w:eastAsia="Calibri"/>
          <w:color w:val="000000"/>
          <w:sz w:val="29"/>
        </w:rPr>
        <w:t>80</w:t>
      </w:r>
      <w:r>
        <w:rPr>
          <w:rFonts w:hint="eastAsia" w:ascii="宋体" w:hAnsi="宋体" w:eastAsia="宋体"/>
          <w:color w:val="000000"/>
          <w:sz w:val="29"/>
        </w:rPr>
        <w:t>多项。并获得国家高新技术企业、金华市高新技术研发中心、永康市制造业百强等荣誉。</w:t>
      </w:r>
      <w:r>
        <w:rPr>
          <w:rFonts w:hint="eastAsia" w:ascii="Calibri" w:hAnsi="Calibri" w:eastAsia="Calibri"/>
          <w:color w:val="000000"/>
          <w:sz w:val="29"/>
        </w:rPr>
        <w:t>2024</w:t>
      </w:r>
      <w:r>
        <w:rPr>
          <w:rFonts w:hint="eastAsia" w:ascii="宋体" w:hAnsi="宋体" w:eastAsia="宋体"/>
          <w:color w:val="000000"/>
          <w:sz w:val="29"/>
        </w:rPr>
        <w:t>年销售产值</w:t>
      </w:r>
      <w:r>
        <w:rPr>
          <w:rFonts w:hint="eastAsia" w:ascii="Calibri" w:hAnsi="Calibri" w:eastAsia="Calibri"/>
          <w:color w:val="000000"/>
          <w:sz w:val="29"/>
        </w:rPr>
        <w:t>2</w:t>
      </w:r>
      <w:r>
        <w:rPr>
          <w:rFonts w:hint="eastAsia" w:ascii="宋体" w:hAnsi="宋体" w:eastAsia="宋体"/>
          <w:color w:val="000000"/>
          <w:sz w:val="29"/>
        </w:rPr>
        <w:t>.</w:t>
      </w:r>
      <w:r>
        <w:rPr>
          <w:rFonts w:hint="eastAsia" w:ascii="Calibri" w:hAnsi="Calibri" w:eastAsia="Calibri"/>
          <w:color w:val="000000"/>
          <w:sz w:val="29"/>
        </w:rPr>
        <w:t>5</w:t>
      </w:r>
      <w:r>
        <w:rPr>
          <w:rFonts w:hint="eastAsia" w:ascii="宋体" w:hAnsi="宋体" w:eastAsia="宋体"/>
          <w:color w:val="000000"/>
          <w:sz w:val="29"/>
        </w:rPr>
        <w:t>亿元，税收</w:t>
      </w:r>
      <w:r>
        <w:rPr>
          <w:rFonts w:hint="eastAsia" w:ascii="Calibri" w:hAnsi="Calibri" w:eastAsia="Calibri"/>
          <w:color w:val="000000"/>
          <w:sz w:val="29"/>
        </w:rPr>
        <w:t>900</w:t>
      </w:r>
      <w:r>
        <w:rPr>
          <w:rFonts w:hint="eastAsia" w:ascii="宋体" w:hAnsi="宋体" w:eastAsia="宋体"/>
          <w:color w:val="000000"/>
          <w:sz w:val="29"/>
        </w:rPr>
        <w:t>余万元，是永康市双百企业。</w:t>
      </w:r>
    </w:p>
    <w:p w14:paraId="7B286C29">
      <w:pPr>
        <w:wordWrap w:val="0"/>
        <w:spacing w:before="0" w:after="0" w:line="240" w:lineRule="auto"/>
        <w:ind w:firstLine="0"/>
        <w:jc w:val="both"/>
        <w:rPr>
          <w:rFonts w:hint="eastAsia" w:ascii="宋体" w:hAnsi="宋体" w:eastAsia="宋体"/>
          <w:color w:val="000000"/>
          <w:sz w:val="21"/>
        </w:rPr>
      </w:pPr>
    </w:p>
    <w:p w14:paraId="4ADFB2F7">
      <w:pPr>
        <w:wordWrap w:val="0"/>
        <w:spacing w:before="0" w:after="0" w:line="312" w:lineRule="auto"/>
        <w:ind w:left="900" w:right="360" w:hanging="760"/>
        <w:jc w:val="both"/>
        <w:rPr>
          <w:sz w:val="29"/>
        </w:rPr>
      </w:pPr>
      <w:r>
        <w:rPr>
          <w:rFonts w:hint="eastAsia" w:ascii="宋体" w:hAnsi="宋体" w:eastAsia="宋体"/>
          <w:color w:val="000000"/>
          <w:sz w:val="29"/>
        </w:rPr>
        <w:t>二、公司目前加大信息智能化、机器自动化改造，还将进一步加强技术创新，引进人才，增加外贸人员，拓展销售渠道、优化销售价格，增加产品种类，提升产品质量和市场竞争力。公司已获</w:t>
      </w:r>
      <w:r>
        <w:rPr>
          <w:rFonts w:hint="eastAsia" w:ascii="Calibri" w:hAnsi="Calibri" w:eastAsia="Calibri"/>
          <w:color w:val="000000"/>
          <w:sz w:val="29"/>
        </w:rPr>
        <w:t>IS09001</w:t>
      </w:r>
      <w:r>
        <w:rPr>
          <w:rFonts w:hint="eastAsia" w:ascii="宋体" w:hAnsi="宋体" w:eastAsia="宋体"/>
          <w:color w:val="000000"/>
          <w:sz w:val="29"/>
        </w:rPr>
        <w:t>质量管理体系认证，为公司产品全球化销售奠定良好的基础，成功发展为全球</w:t>
      </w:r>
      <w:r>
        <w:rPr>
          <w:rFonts w:hint="eastAsia" w:ascii="Calibri" w:hAnsi="Calibri" w:eastAsia="Calibri"/>
          <w:color w:val="000000"/>
          <w:sz w:val="29"/>
        </w:rPr>
        <w:t>XX</w:t>
      </w:r>
      <w:r>
        <w:rPr>
          <w:rFonts w:hint="eastAsia" w:ascii="宋体" w:hAnsi="宋体" w:eastAsia="宋体"/>
          <w:color w:val="000000"/>
          <w:sz w:val="29"/>
        </w:rPr>
        <w:t>健康休闲车顶尖品牌的长期战略合作伙伴。公司在欧洲、南美、东南亚、西亚等地区均设有分支机构，为产品的全球化销售提供高效，精准的一线服务。</w:t>
      </w:r>
    </w:p>
    <w:p w14:paraId="4943E57E">
      <w:pPr>
        <w:wordWrap w:val="0"/>
        <w:spacing w:before="0" w:after="0" w:line="240" w:lineRule="auto"/>
        <w:ind w:firstLine="0"/>
        <w:jc w:val="both"/>
        <w:rPr>
          <w:rFonts w:hint="eastAsia" w:ascii="宋体" w:hAnsi="宋体" w:eastAsia="宋体"/>
          <w:color w:val="000000"/>
          <w:sz w:val="21"/>
        </w:rPr>
      </w:pPr>
    </w:p>
    <w:p w14:paraId="26D5950C">
      <w:pPr>
        <w:wordWrap w:val="0"/>
        <w:spacing w:before="0" w:after="0" w:line="312" w:lineRule="auto"/>
        <w:ind w:left="900" w:right="360" w:hanging="760"/>
        <w:jc w:val="both"/>
        <w:rPr>
          <w:sz w:val="29"/>
        </w:rPr>
      </w:pPr>
      <w:r>
        <w:rPr>
          <w:rFonts w:hint="eastAsia" w:ascii="宋体" w:hAnsi="宋体" w:eastAsia="宋体"/>
          <w:color w:val="000000"/>
          <w:sz w:val="29"/>
        </w:rPr>
        <w:t>三、公司始终坚持“专精特新，健康环保”的经营理念，将始终不断开拓市场最专业，最前沿的新技术领域，并充分运用在高效，精益的制造体系，为全球用户带来更为优质的健康体验。</w:t>
      </w:r>
    </w:p>
    <w:p w14:paraId="39FB7C85">
      <w:pPr>
        <w:wordWrap w:val="0"/>
        <w:spacing w:before="0" w:after="0" w:line="240" w:lineRule="auto"/>
        <w:ind w:firstLine="0"/>
        <w:jc w:val="both"/>
        <w:rPr>
          <w:rFonts w:hint="eastAsia" w:ascii="宋体" w:hAnsi="宋体" w:eastAsia="宋体"/>
          <w:color w:val="000000"/>
          <w:sz w:val="21"/>
        </w:rPr>
      </w:pPr>
    </w:p>
    <w:p w14:paraId="438E5726">
      <w:pPr>
        <w:wordWrap w:val="0"/>
        <w:spacing w:before="0" w:after="0" w:line="235" w:lineRule="auto"/>
        <w:ind w:firstLine="660"/>
        <w:jc w:val="both"/>
        <w:rPr>
          <w:sz w:val="29"/>
        </w:rPr>
      </w:pPr>
      <w:r>
        <w:rPr>
          <w:rFonts w:hint="eastAsia" w:ascii="宋体" w:hAnsi="宋体" w:eastAsia="宋体"/>
          <w:color w:val="000000"/>
          <w:sz w:val="29"/>
        </w:rPr>
        <w:t>注重文化建设的社会责任</w:t>
      </w:r>
    </w:p>
    <w:p w14:paraId="548E66CF">
      <w:pPr>
        <w:wordWrap w:val="0"/>
        <w:spacing w:before="0" w:after="0" w:line="240" w:lineRule="auto"/>
        <w:ind w:firstLine="0"/>
        <w:jc w:val="both"/>
        <w:rPr>
          <w:rFonts w:hint="eastAsia" w:ascii="宋体" w:hAnsi="宋体" w:eastAsia="宋体"/>
          <w:color w:val="000000"/>
          <w:sz w:val="21"/>
        </w:rPr>
      </w:pPr>
    </w:p>
    <w:p w14:paraId="0A8CEFF4">
      <w:pPr>
        <w:wordWrap w:val="0"/>
        <w:spacing w:before="0" w:after="0" w:line="240" w:lineRule="auto"/>
        <w:ind w:firstLine="140"/>
        <w:jc w:val="both"/>
        <w:rPr>
          <w:sz w:val="29"/>
        </w:rPr>
      </w:pPr>
      <w:r>
        <w:rPr>
          <w:rFonts w:hint="eastAsia" w:ascii="宋体" w:hAnsi="宋体" w:eastAsia="宋体"/>
          <w:color w:val="000000"/>
          <w:sz w:val="29"/>
        </w:rPr>
        <w:t>公司管理层十分重视企业文化建设，提出了公司的价值观和愿景；</w:t>
      </w:r>
    </w:p>
    <w:p w14:paraId="6D935AC9">
      <w:pPr>
        <w:wordWrap w:val="0"/>
        <w:spacing w:before="0" w:after="0" w:line="240" w:lineRule="auto"/>
        <w:ind w:firstLine="0"/>
        <w:jc w:val="both"/>
        <w:rPr>
          <w:rFonts w:hint="eastAsia" w:ascii="宋体" w:hAnsi="宋体" w:eastAsia="宋体"/>
          <w:color w:val="000000"/>
          <w:sz w:val="21"/>
        </w:rPr>
      </w:pPr>
    </w:p>
    <w:p w14:paraId="55C1C404">
      <w:pPr>
        <w:wordWrap w:val="0"/>
        <w:spacing w:before="0" w:after="0" w:line="230" w:lineRule="auto"/>
        <w:ind w:firstLine="20"/>
        <w:jc w:val="both"/>
        <w:rPr>
          <w:sz w:val="29"/>
        </w:rPr>
      </w:pPr>
      <w:r>
        <w:rPr>
          <w:rFonts w:hint="eastAsia" w:ascii="宋体" w:hAnsi="宋体" w:eastAsia="宋体"/>
          <w:color w:val="000000"/>
          <w:sz w:val="29"/>
        </w:rPr>
        <w:t>企业使命、愿景、价值观：</w:t>
      </w:r>
    </w:p>
    <w:p w14:paraId="107866DB">
      <w:pPr>
        <w:wordWrap w:val="0"/>
        <w:spacing w:before="0" w:after="0" w:line="240" w:lineRule="auto"/>
        <w:ind w:firstLine="140"/>
        <w:jc w:val="both"/>
        <w:rPr>
          <w:sz w:val="29"/>
        </w:rPr>
        <w:sectPr>
          <w:headerReference r:id="rId5" w:type="default"/>
          <w:footerReference r:id="rId6" w:type="default"/>
          <w:type w:val="continuous"/>
          <w:pgSz w:w="11900" w:h="17240"/>
          <w:pgMar w:top="1440" w:right="1440" w:bottom="1680" w:left="1440" w:header="720" w:footer="840" w:gutter="0"/>
          <w:cols w:space="720" w:num="1"/>
        </w:sectPr>
      </w:pPr>
      <w:r>
        <w:rPr>
          <w:rFonts w:hint="eastAsia" w:ascii="宋体" w:hAnsi="宋体" w:eastAsia="宋体"/>
          <w:color w:val="000000"/>
          <w:sz w:val="29"/>
        </w:rPr>
        <w:t>锦霖的使命：深耕主业，服务客户，造福社会！</w:t>
      </w:r>
    </w:p>
    <w:p w14:paraId="57DDF9DE">
      <w:pPr>
        <w:wordWrap w:val="0"/>
        <w:spacing w:before="0" w:after="0" w:line="191" w:lineRule="auto"/>
        <w:ind w:firstLine="860"/>
        <w:jc w:val="both"/>
        <w:rPr>
          <w:sz w:val="31"/>
        </w:rPr>
      </w:pPr>
      <w:r>
        <w:rPr>
          <w:rFonts w:hint="eastAsia" w:ascii="宋体" w:hAnsi="宋体" w:eastAsia="宋体"/>
          <w:b/>
          <w:color w:val="000000"/>
          <w:sz w:val="31"/>
        </w:rPr>
        <w:t>锦霖的愿景：纳百川成就海业，思进取赢得未来！</w:t>
      </w:r>
      <w:r>
        <w:drawing>
          <wp:anchor distT="0" distB="0" distL="114300" distR="114300" simplePos="0" relativeHeight="251659264" behindDoc="1" locked="0" layoutInCell="1" allowOverlap="1">
            <wp:simplePos x="0" y="0"/>
            <wp:positionH relativeFrom="page">
              <wp:posOffset>7442200</wp:posOffset>
            </wp:positionH>
            <wp:positionV relativeFrom="page">
              <wp:posOffset>6375400</wp:posOffset>
            </wp:positionV>
            <wp:extent cx="203200" cy="1473200"/>
            <wp:effectExtent l="0" t="0" r="2540" b="4445"/>
            <wp:wrapNone/>
            <wp:docPr id="4"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MP"/>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03200" cy="1473200"/>
                    </a:xfrm>
                    <a:prstGeom prst="rect">
                      <a:avLst/>
                    </a:prstGeom>
                  </pic:spPr>
                </pic:pic>
              </a:graphicData>
            </a:graphic>
          </wp:anchor>
        </w:drawing>
      </w:r>
    </w:p>
    <w:p w14:paraId="658AC634">
      <w:pPr>
        <w:wordWrap w:val="0"/>
        <w:spacing w:before="0" w:after="0" w:line="240" w:lineRule="auto"/>
        <w:ind w:firstLine="0"/>
        <w:jc w:val="both"/>
        <w:rPr>
          <w:rFonts w:hint="eastAsia" w:ascii="宋体" w:hAnsi="宋体" w:eastAsia="宋体"/>
          <w:color w:val="000000"/>
          <w:sz w:val="21"/>
        </w:rPr>
      </w:pPr>
    </w:p>
    <w:p w14:paraId="5FEAD4F3">
      <w:pPr>
        <w:wordWrap w:val="0"/>
        <w:spacing w:before="89" w:after="0" w:line="239" w:lineRule="auto"/>
        <w:ind w:firstLine="860"/>
        <w:jc w:val="both"/>
        <w:rPr>
          <w:sz w:val="25"/>
        </w:rPr>
      </w:pPr>
      <w:r>
        <w:rPr>
          <w:rFonts w:hint="eastAsia" w:ascii="宋体" w:hAnsi="宋体" w:eastAsia="宋体"/>
          <w:b/>
          <w:color w:val="000000"/>
          <w:sz w:val="25"/>
        </w:rPr>
        <w:t>锦霖的价值观：以人为本，心德为先，客户至上！</w:t>
      </w:r>
    </w:p>
    <w:p w14:paraId="11D29696">
      <w:pPr>
        <w:wordWrap w:val="0"/>
        <w:spacing w:before="0" w:after="0" w:line="240" w:lineRule="auto"/>
        <w:ind w:firstLine="0"/>
        <w:jc w:val="both"/>
        <w:rPr>
          <w:rFonts w:hint="eastAsia" w:ascii="宋体" w:hAnsi="宋体" w:eastAsia="宋体"/>
          <w:color w:val="000000"/>
          <w:sz w:val="21"/>
        </w:rPr>
      </w:pPr>
    </w:p>
    <w:p w14:paraId="608F7555">
      <w:pPr>
        <w:wordWrap w:val="0"/>
        <w:spacing w:before="87" w:after="0" w:line="383" w:lineRule="auto"/>
        <w:ind w:left="260" w:right="320" w:firstLine="600"/>
        <w:jc w:val="both"/>
        <w:rPr>
          <w:sz w:val="25"/>
        </w:rPr>
      </w:pPr>
      <w:r>
        <w:rPr>
          <w:rFonts w:hint="eastAsia" w:ascii="宋体" w:hAnsi="宋体" w:eastAsia="宋体"/>
          <w:color w:val="000000"/>
          <w:sz w:val="25"/>
        </w:rPr>
        <w:t>公司营造良好的沟通氛围，通过设置总经理信箱、开展合理化建议活动等，广泛听取各层面员工的意见或建议，保持组织内部沟通顺畅；通过走访、洽谈会、研讨会，听取顾客、供方等相关方的意见及建议。公司领导倡导“沟通无限”，建立了互动双向沟通机制，多渠道听取员工及其他相关方要求，多种方式实现不同部门、不同职位、不同地区间的有效沟通，如下表。</w:t>
      </w:r>
    </w:p>
    <w:p w14:paraId="63D24654">
      <w:pPr>
        <w:wordWrap w:val="0"/>
        <w:spacing w:before="0" w:after="0" w:line="240" w:lineRule="auto"/>
        <w:ind w:firstLine="0"/>
        <w:jc w:val="both"/>
        <w:rPr>
          <w:rFonts w:hint="eastAsia" w:ascii="宋体" w:hAnsi="宋体" w:eastAsia="宋体"/>
          <w:color w:val="000000"/>
          <w:sz w:val="21"/>
        </w:rPr>
      </w:pPr>
    </w:p>
    <w:p w14:paraId="2F23B532">
      <w:pPr>
        <w:wordWrap w:val="0"/>
        <w:spacing w:before="225" w:after="0" w:line="239" w:lineRule="auto"/>
        <w:ind w:firstLine="4040"/>
        <w:jc w:val="both"/>
        <w:rPr>
          <w:sz w:val="25"/>
        </w:rPr>
      </w:pPr>
      <w:r>
        <w:rPr>
          <w:rFonts w:hint="eastAsia" w:ascii="宋体" w:hAnsi="宋体" w:eastAsia="宋体"/>
          <w:b/>
          <w:color w:val="000000"/>
          <w:sz w:val="25"/>
        </w:rPr>
        <w:t>企业文化的传播方式</w:t>
      </w:r>
    </w:p>
    <w:p w14:paraId="7F03D59B">
      <w:pPr>
        <w:wordWrap w:val="0"/>
        <w:spacing w:before="0" w:after="0" w:line="308" w:lineRule="auto"/>
        <w:ind w:firstLine="0"/>
        <w:jc w:val="both"/>
        <w:rPr>
          <w:rFonts w:hint="eastAsia" w:ascii="宋体" w:hAnsi="宋体" w:eastAsia="宋体"/>
          <w:color w:val="000000"/>
          <w:sz w:val="12"/>
        </w:rPr>
      </w:pPr>
    </w:p>
    <w:tbl>
      <w:tblPr>
        <w:tblStyle w:val="2"/>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280"/>
        <w:gridCol w:w="7100"/>
        <w:gridCol w:w="1420"/>
      </w:tblGrid>
      <w:tr w14:paraId="78D4A1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280" w:type="dxa"/>
            <w:tcBorders>
              <w:top w:val="single" w:color="000000" w:sz="4" w:space="0"/>
              <w:left w:val="single" w:color="000000" w:sz="4" w:space="0"/>
              <w:bottom w:val="single" w:color="000000" w:sz="4" w:space="0"/>
              <w:right w:val="single" w:color="000000" w:sz="4" w:space="0"/>
            </w:tcBorders>
            <w:vAlign w:val="top"/>
          </w:tcPr>
          <w:p w14:paraId="079355B3">
            <w:pPr>
              <w:spacing w:before="105" w:after="0" w:line="239" w:lineRule="auto"/>
              <w:jc w:val="center"/>
              <w:rPr>
                <w:sz w:val="25"/>
              </w:rPr>
            </w:pPr>
            <w:r>
              <w:rPr>
                <w:rFonts w:hint="eastAsia" w:ascii="宋体" w:hAnsi="宋体" w:eastAsia="宋体"/>
                <w:color w:val="000000"/>
                <w:sz w:val="25"/>
              </w:rPr>
              <w:t>沟通对象</w:t>
            </w:r>
          </w:p>
        </w:tc>
        <w:tc>
          <w:tcPr>
            <w:tcW w:w="7100" w:type="dxa"/>
            <w:tcBorders>
              <w:top w:val="single" w:color="000000" w:sz="4" w:space="0"/>
              <w:left w:val="single" w:color="000000" w:sz="4" w:space="0"/>
              <w:bottom w:val="single" w:color="000000" w:sz="4" w:space="0"/>
              <w:right w:val="single" w:color="000000" w:sz="4" w:space="0"/>
            </w:tcBorders>
            <w:vAlign w:val="top"/>
          </w:tcPr>
          <w:p w14:paraId="1B468D35">
            <w:pPr>
              <w:spacing w:before="85" w:after="0" w:line="239" w:lineRule="auto"/>
              <w:ind w:firstLine="3180"/>
              <w:jc w:val="both"/>
              <w:rPr>
                <w:sz w:val="25"/>
              </w:rPr>
            </w:pPr>
            <w:r>
              <w:rPr>
                <w:rFonts w:hint="eastAsia" w:ascii="宋体" w:hAnsi="宋体" w:eastAsia="宋体"/>
                <w:color w:val="000000"/>
                <w:sz w:val="25"/>
              </w:rPr>
              <w:t>传播方式渠道</w:t>
            </w:r>
          </w:p>
        </w:tc>
        <w:tc>
          <w:tcPr>
            <w:tcW w:w="1420" w:type="dxa"/>
            <w:tcBorders>
              <w:top w:val="single" w:color="000000" w:sz="4" w:space="0"/>
              <w:left w:val="single" w:color="000000" w:sz="4" w:space="0"/>
              <w:bottom w:val="single" w:color="000000" w:sz="4" w:space="0"/>
              <w:right w:val="single" w:color="000000" w:sz="4" w:space="0"/>
            </w:tcBorders>
            <w:vAlign w:val="top"/>
          </w:tcPr>
          <w:p w14:paraId="4198701C">
            <w:pPr>
              <w:spacing w:before="65" w:after="0" w:line="239" w:lineRule="auto"/>
              <w:ind w:firstLine="140"/>
              <w:jc w:val="both"/>
              <w:rPr>
                <w:sz w:val="25"/>
              </w:rPr>
            </w:pPr>
            <w:r>
              <w:rPr>
                <w:rFonts w:hint="eastAsia" w:ascii="宋体" w:hAnsi="宋体" w:eastAsia="宋体"/>
                <w:color w:val="000000"/>
                <w:sz w:val="25"/>
              </w:rPr>
              <w:t>沟通方式</w:t>
            </w:r>
          </w:p>
        </w:tc>
      </w:tr>
      <w:tr w14:paraId="158652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280" w:type="dxa"/>
            <w:vMerge w:val="restart"/>
            <w:tcBorders>
              <w:top w:val="single" w:color="000000" w:sz="4" w:space="0"/>
              <w:left w:val="single" w:color="000000" w:sz="4" w:space="0"/>
              <w:bottom w:val="single" w:color="000000" w:sz="4" w:space="0"/>
              <w:right w:val="single" w:color="000000" w:sz="4" w:space="0"/>
            </w:tcBorders>
            <w:vAlign w:val="top"/>
          </w:tcPr>
          <w:p w14:paraId="06EDA9FD">
            <w:pPr>
              <w:wordWrap w:val="0"/>
              <w:spacing w:before="0" w:after="0" w:line="383" w:lineRule="auto"/>
              <w:ind w:firstLine="0"/>
              <w:jc w:val="both"/>
              <w:rPr>
                <w:rFonts w:hint="eastAsia" w:ascii="宋体" w:hAnsi="宋体" w:eastAsia="宋体"/>
                <w:color w:val="000000"/>
                <w:sz w:val="25"/>
              </w:rPr>
            </w:pPr>
          </w:p>
          <w:p w14:paraId="6BEC37D9">
            <w:pPr>
              <w:wordWrap w:val="0"/>
              <w:spacing w:before="0" w:after="0" w:line="383" w:lineRule="auto"/>
              <w:ind w:firstLine="0"/>
              <w:jc w:val="both"/>
              <w:rPr>
                <w:rFonts w:hint="eastAsia" w:ascii="宋体" w:hAnsi="宋体" w:eastAsia="宋体"/>
                <w:color w:val="000000"/>
                <w:sz w:val="25"/>
              </w:rPr>
            </w:pPr>
          </w:p>
          <w:p w14:paraId="1635BA0A">
            <w:pPr>
              <w:wordWrap w:val="0"/>
              <w:spacing w:before="0" w:after="0" w:line="383" w:lineRule="auto"/>
              <w:ind w:firstLine="0"/>
              <w:jc w:val="both"/>
              <w:rPr>
                <w:rFonts w:hint="eastAsia" w:ascii="宋体" w:hAnsi="宋体" w:eastAsia="宋体"/>
                <w:color w:val="000000"/>
                <w:sz w:val="25"/>
              </w:rPr>
            </w:pPr>
          </w:p>
          <w:p w14:paraId="17967F90">
            <w:pPr>
              <w:spacing w:before="310" w:after="0" w:line="239" w:lineRule="auto"/>
              <w:jc w:val="center"/>
              <w:rPr>
                <w:sz w:val="25"/>
              </w:rPr>
            </w:pPr>
            <w:r>
              <w:rPr>
                <w:rFonts w:hint="eastAsia" w:ascii="宋体" w:hAnsi="宋体" w:eastAsia="宋体"/>
                <w:color w:val="000000"/>
                <w:sz w:val="25"/>
              </w:rPr>
              <w:t>员工</w:t>
            </w:r>
          </w:p>
        </w:tc>
        <w:tc>
          <w:tcPr>
            <w:tcW w:w="7100" w:type="dxa"/>
            <w:tcBorders>
              <w:top w:val="single" w:color="000000" w:sz="4" w:space="0"/>
              <w:left w:val="single" w:color="000000" w:sz="4" w:space="0"/>
              <w:bottom w:val="single" w:color="000000" w:sz="4" w:space="0"/>
              <w:right w:val="single" w:color="000000" w:sz="4" w:space="0"/>
            </w:tcBorders>
            <w:vAlign w:val="top"/>
          </w:tcPr>
          <w:p w14:paraId="152871AD">
            <w:pPr>
              <w:spacing w:before="144" w:after="0" w:line="239" w:lineRule="auto"/>
              <w:ind w:firstLine="140"/>
              <w:jc w:val="both"/>
              <w:rPr>
                <w:sz w:val="25"/>
              </w:rPr>
            </w:pPr>
            <w:r>
              <w:rPr>
                <w:rFonts w:hint="eastAsia" w:ascii="宋体" w:hAnsi="宋体" w:eastAsia="宋体"/>
                <w:color w:val="000000"/>
                <w:sz w:val="25"/>
              </w:rPr>
              <w:t>入职培训、在职培训、专业培训、选拔培训等</w:t>
            </w:r>
          </w:p>
        </w:tc>
        <w:tc>
          <w:tcPr>
            <w:tcW w:w="1420" w:type="dxa"/>
            <w:tcBorders>
              <w:top w:val="single" w:color="000000" w:sz="4" w:space="0"/>
              <w:left w:val="single" w:color="000000" w:sz="4" w:space="0"/>
              <w:bottom w:val="single" w:color="000000" w:sz="4" w:space="0"/>
              <w:right w:val="single" w:color="000000" w:sz="4" w:space="0"/>
            </w:tcBorders>
            <w:vAlign w:val="top"/>
          </w:tcPr>
          <w:p w14:paraId="25396953">
            <w:pPr>
              <w:spacing w:before="124" w:after="0" w:line="239" w:lineRule="auto"/>
              <w:ind w:firstLine="160"/>
              <w:jc w:val="both"/>
              <w:rPr>
                <w:sz w:val="25"/>
              </w:rPr>
            </w:pPr>
            <w:r>
              <w:rPr>
                <w:rFonts w:hint="eastAsia" w:ascii="宋体" w:hAnsi="宋体" w:eastAsia="宋体"/>
                <w:color w:val="000000"/>
                <w:sz w:val="25"/>
              </w:rPr>
              <w:t>员工参与</w:t>
            </w:r>
          </w:p>
        </w:tc>
      </w:tr>
      <w:tr w14:paraId="3BBE7C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1280" w:type="dxa"/>
            <w:vMerge w:val="continue"/>
            <w:tcBorders>
              <w:top w:val="single" w:color="000000" w:sz="4" w:space="0"/>
              <w:left w:val="single" w:color="000000" w:sz="4" w:space="0"/>
              <w:bottom w:val="single" w:color="000000" w:sz="4" w:space="0"/>
              <w:right w:val="single" w:color="000000" w:sz="4" w:space="0"/>
            </w:tcBorders>
          </w:tcPr>
          <w:p w14:paraId="23A64E26"/>
        </w:tc>
        <w:tc>
          <w:tcPr>
            <w:tcW w:w="7100" w:type="dxa"/>
            <w:tcBorders>
              <w:top w:val="single" w:color="000000" w:sz="4" w:space="0"/>
              <w:left w:val="single" w:color="000000" w:sz="4" w:space="0"/>
              <w:bottom w:val="single" w:color="000000" w:sz="4" w:space="0"/>
              <w:right w:val="single" w:color="000000" w:sz="4" w:space="0"/>
            </w:tcBorders>
            <w:vAlign w:val="top"/>
          </w:tcPr>
          <w:p w14:paraId="01949BE3">
            <w:pPr>
              <w:spacing w:before="0" w:after="0" w:line="355" w:lineRule="auto"/>
              <w:ind w:left="140" w:right="80" w:firstLine="100"/>
              <w:jc w:val="both"/>
              <w:rPr>
                <w:sz w:val="25"/>
              </w:rPr>
            </w:pPr>
            <w:r>
              <w:rPr>
                <w:rFonts w:hint="eastAsia" w:ascii="宋体" w:hAnsi="宋体" w:eastAsia="宋体"/>
                <w:color w:val="000000"/>
                <w:sz w:val="25"/>
              </w:rPr>
              <w:t>《公司章程》、公司官网、公司文件、企业文化墙、车间宣传栏、标语旗帜</w:t>
            </w:r>
          </w:p>
        </w:tc>
        <w:tc>
          <w:tcPr>
            <w:tcW w:w="1420" w:type="dxa"/>
            <w:tcBorders>
              <w:top w:val="single" w:color="000000" w:sz="4" w:space="0"/>
              <w:left w:val="single" w:color="000000" w:sz="4" w:space="0"/>
              <w:bottom w:val="single" w:color="000000" w:sz="4" w:space="0"/>
              <w:right w:val="single" w:color="000000" w:sz="4" w:space="0"/>
            </w:tcBorders>
            <w:vAlign w:val="top"/>
          </w:tcPr>
          <w:p w14:paraId="186DECF0">
            <w:pPr>
              <w:spacing w:before="0" w:after="0" w:line="230" w:lineRule="auto"/>
              <w:ind w:left="140" w:right="400" w:firstLine="0"/>
              <w:jc w:val="both"/>
              <w:rPr>
                <w:sz w:val="25"/>
              </w:rPr>
            </w:pPr>
            <w:r>
              <w:rPr>
                <w:rFonts w:hint="eastAsia" w:ascii="宋体" w:hAnsi="宋体" w:eastAsia="宋体"/>
                <w:color w:val="000000"/>
                <w:sz w:val="25"/>
              </w:rPr>
              <w:t>潜移默化广泛传播</w:t>
            </w:r>
          </w:p>
        </w:tc>
      </w:tr>
      <w:tr w14:paraId="742C54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280" w:type="dxa"/>
            <w:vMerge w:val="continue"/>
            <w:tcBorders>
              <w:top w:val="single" w:color="000000" w:sz="4" w:space="0"/>
              <w:left w:val="single" w:color="000000" w:sz="4" w:space="0"/>
              <w:bottom w:val="single" w:color="000000" w:sz="4" w:space="0"/>
              <w:right w:val="single" w:color="000000" w:sz="4" w:space="0"/>
            </w:tcBorders>
          </w:tcPr>
          <w:p w14:paraId="5E74BFFE"/>
        </w:tc>
        <w:tc>
          <w:tcPr>
            <w:tcW w:w="7100" w:type="dxa"/>
            <w:tcBorders>
              <w:top w:val="single" w:color="000000" w:sz="4" w:space="0"/>
              <w:left w:val="single" w:color="000000" w:sz="4" w:space="0"/>
              <w:bottom w:val="single" w:color="000000" w:sz="4" w:space="0"/>
              <w:right w:val="single" w:color="000000" w:sz="4" w:space="0"/>
            </w:tcBorders>
            <w:vAlign w:val="top"/>
          </w:tcPr>
          <w:p w14:paraId="024A6EA2">
            <w:pPr>
              <w:spacing w:before="181" w:after="0" w:line="239" w:lineRule="auto"/>
              <w:ind w:firstLine="160"/>
              <w:jc w:val="both"/>
              <w:rPr>
                <w:sz w:val="25"/>
              </w:rPr>
            </w:pPr>
            <w:r>
              <w:rPr>
                <w:rFonts w:hint="eastAsia" w:ascii="宋体" w:hAnsi="宋体" w:eastAsia="宋体"/>
                <w:color w:val="000000"/>
                <w:sz w:val="25"/>
              </w:rPr>
              <w:t>内线电话、</w:t>
            </w:r>
            <w:r>
              <w:rPr>
                <w:rFonts w:hint="eastAsia" w:ascii="Calibri" w:hAnsi="Calibri" w:eastAsia="Calibri"/>
                <w:color w:val="000000"/>
                <w:sz w:val="25"/>
              </w:rPr>
              <w:t>OA</w:t>
            </w:r>
            <w:r>
              <w:rPr>
                <w:rFonts w:hint="eastAsia" w:ascii="宋体" w:hAnsi="宋体" w:eastAsia="宋体"/>
                <w:color w:val="000000"/>
                <w:sz w:val="25"/>
              </w:rPr>
              <w:t>、</w:t>
            </w:r>
            <w:r>
              <w:rPr>
                <w:rFonts w:hint="eastAsia" w:ascii="Calibri" w:hAnsi="Calibri" w:eastAsia="Calibri"/>
                <w:color w:val="000000"/>
                <w:sz w:val="25"/>
              </w:rPr>
              <w:t>ERP</w:t>
            </w:r>
            <w:r>
              <w:rPr>
                <w:rFonts w:hint="eastAsia" w:ascii="宋体" w:hAnsi="宋体" w:eastAsia="宋体"/>
                <w:color w:val="000000"/>
                <w:sz w:val="25"/>
              </w:rPr>
              <w:t>系统、电子邮件系统、总经理信箱</w:t>
            </w:r>
          </w:p>
        </w:tc>
        <w:tc>
          <w:tcPr>
            <w:tcW w:w="1420" w:type="dxa"/>
            <w:tcBorders>
              <w:top w:val="single" w:color="000000" w:sz="4" w:space="0"/>
              <w:left w:val="single" w:color="000000" w:sz="4" w:space="0"/>
              <w:bottom w:val="single" w:color="000000" w:sz="4" w:space="0"/>
              <w:right w:val="single" w:color="000000" w:sz="4" w:space="0"/>
            </w:tcBorders>
            <w:vAlign w:val="top"/>
          </w:tcPr>
          <w:p w14:paraId="74AABE7F">
            <w:pPr>
              <w:spacing w:before="161" w:after="0" w:line="239" w:lineRule="auto"/>
              <w:ind w:firstLine="140"/>
              <w:jc w:val="both"/>
              <w:rPr>
                <w:sz w:val="25"/>
              </w:rPr>
            </w:pPr>
            <w:r>
              <w:rPr>
                <w:rFonts w:hint="eastAsia" w:ascii="宋体" w:hAnsi="宋体" w:eastAsia="宋体"/>
                <w:color w:val="000000"/>
                <w:sz w:val="25"/>
              </w:rPr>
              <w:t>双向沟通</w:t>
            </w:r>
          </w:p>
        </w:tc>
      </w:tr>
      <w:tr w14:paraId="26C228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280" w:type="dxa"/>
            <w:vMerge w:val="continue"/>
            <w:tcBorders>
              <w:top w:val="single" w:color="000000" w:sz="4" w:space="0"/>
              <w:left w:val="single" w:color="000000" w:sz="4" w:space="0"/>
              <w:bottom w:val="single" w:color="000000" w:sz="4" w:space="0"/>
              <w:right w:val="single" w:color="000000" w:sz="4" w:space="0"/>
            </w:tcBorders>
          </w:tcPr>
          <w:p w14:paraId="25C8D622"/>
        </w:tc>
        <w:tc>
          <w:tcPr>
            <w:tcW w:w="7100" w:type="dxa"/>
            <w:tcBorders>
              <w:top w:val="single" w:color="000000" w:sz="4" w:space="0"/>
              <w:left w:val="single" w:color="000000" w:sz="4" w:space="0"/>
              <w:bottom w:val="single" w:color="000000" w:sz="4" w:space="0"/>
              <w:right w:val="single" w:color="000000" w:sz="4" w:space="0"/>
            </w:tcBorders>
            <w:vAlign w:val="top"/>
          </w:tcPr>
          <w:p w14:paraId="687F6693">
            <w:pPr>
              <w:spacing w:before="198" w:after="0" w:line="240" w:lineRule="auto"/>
              <w:ind w:firstLine="140"/>
              <w:jc w:val="both"/>
              <w:rPr>
                <w:sz w:val="22"/>
              </w:rPr>
            </w:pPr>
            <w:r>
              <w:rPr>
                <w:rFonts w:hint="eastAsia" w:ascii="宋体" w:hAnsi="宋体" w:eastAsia="宋体"/>
                <w:color w:val="000000"/>
                <w:sz w:val="22"/>
              </w:rPr>
              <w:t>迎春文艺汇演、团拜晚宴、运动会、篮球赛、乒乓球赛等各类文体活动</w:t>
            </w:r>
          </w:p>
        </w:tc>
        <w:tc>
          <w:tcPr>
            <w:tcW w:w="1420" w:type="dxa"/>
            <w:tcBorders>
              <w:top w:val="single" w:color="000000" w:sz="4" w:space="0"/>
              <w:left w:val="single" w:color="000000" w:sz="4" w:space="0"/>
              <w:bottom w:val="single" w:color="000000" w:sz="4" w:space="0"/>
              <w:right w:val="single" w:color="000000" w:sz="4" w:space="0"/>
            </w:tcBorders>
            <w:vAlign w:val="top"/>
          </w:tcPr>
          <w:p w14:paraId="591A2EB3">
            <w:pPr>
              <w:spacing w:before="119" w:after="0" w:line="239" w:lineRule="auto"/>
              <w:ind w:firstLine="140"/>
              <w:jc w:val="both"/>
              <w:rPr>
                <w:sz w:val="25"/>
              </w:rPr>
            </w:pPr>
            <w:r>
              <w:rPr>
                <w:rFonts w:hint="eastAsia" w:ascii="宋体" w:hAnsi="宋体" w:eastAsia="宋体"/>
                <w:color w:val="000000"/>
                <w:sz w:val="25"/>
              </w:rPr>
              <w:t>员工参与</w:t>
            </w:r>
          </w:p>
        </w:tc>
      </w:tr>
      <w:tr w14:paraId="27F0DA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1280" w:type="dxa"/>
            <w:vMerge w:val="continue"/>
            <w:tcBorders>
              <w:top w:val="single" w:color="000000" w:sz="4" w:space="0"/>
              <w:left w:val="single" w:color="000000" w:sz="4" w:space="0"/>
              <w:bottom w:val="single" w:color="000000" w:sz="4" w:space="0"/>
              <w:right w:val="single" w:color="000000" w:sz="4" w:space="0"/>
            </w:tcBorders>
          </w:tcPr>
          <w:p w14:paraId="4861ACC1"/>
        </w:tc>
        <w:tc>
          <w:tcPr>
            <w:tcW w:w="7100" w:type="dxa"/>
            <w:tcBorders>
              <w:top w:val="single" w:color="000000" w:sz="4" w:space="0"/>
              <w:left w:val="single" w:color="000000" w:sz="4" w:space="0"/>
              <w:bottom w:val="single" w:color="000000" w:sz="4" w:space="0"/>
              <w:right w:val="single" w:color="000000" w:sz="4" w:space="0"/>
            </w:tcBorders>
            <w:vAlign w:val="top"/>
          </w:tcPr>
          <w:p w14:paraId="736E6178">
            <w:pPr>
              <w:spacing w:before="138" w:after="0" w:line="239" w:lineRule="auto"/>
              <w:ind w:firstLine="160"/>
              <w:jc w:val="both"/>
              <w:rPr>
                <w:sz w:val="25"/>
              </w:rPr>
            </w:pPr>
            <w:r>
              <w:rPr>
                <w:rFonts w:hint="eastAsia" w:ascii="宋体" w:hAnsi="宋体" w:eastAsia="宋体"/>
                <w:color w:val="000000"/>
                <w:sz w:val="25"/>
              </w:rPr>
              <w:t>优秀员工、合理化建议奖、年终总结大会及先进表彰大会等</w:t>
            </w:r>
          </w:p>
        </w:tc>
        <w:tc>
          <w:tcPr>
            <w:tcW w:w="1420" w:type="dxa"/>
            <w:tcBorders>
              <w:top w:val="single" w:color="000000" w:sz="4" w:space="0"/>
              <w:left w:val="single" w:color="000000" w:sz="4" w:space="0"/>
              <w:bottom w:val="single" w:color="000000" w:sz="4" w:space="0"/>
              <w:right w:val="single" w:color="000000" w:sz="4" w:space="0"/>
            </w:tcBorders>
            <w:vAlign w:val="top"/>
          </w:tcPr>
          <w:p w14:paraId="53B27617">
            <w:pPr>
              <w:spacing w:before="118" w:after="0" w:line="239" w:lineRule="auto"/>
              <w:ind w:firstLine="140"/>
              <w:jc w:val="both"/>
              <w:rPr>
                <w:sz w:val="25"/>
              </w:rPr>
            </w:pPr>
            <w:r>
              <w:rPr>
                <w:rFonts w:hint="eastAsia" w:ascii="宋体" w:hAnsi="宋体" w:eastAsia="宋体"/>
                <w:color w:val="000000"/>
                <w:sz w:val="25"/>
              </w:rPr>
              <w:t>榜样激励</w:t>
            </w:r>
          </w:p>
        </w:tc>
      </w:tr>
      <w:tr w14:paraId="720F4C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60" w:hRule="atLeast"/>
        </w:trPr>
        <w:tc>
          <w:tcPr>
            <w:tcW w:w="1280" w:type="dxa"/>
            <w:vMerge w:val="continue"/>
            <w:tcBorders>
              <w:top w:val="single" w:color="000000" w:sz="4" w:space="0"/>
              <w:left w:val="single" w:color="000000" w:sz="4" w:space="0"/>
              <w:bottom w:val="single" w:color="000000" w:sz="4" w:space="0"/>
              <w:right w:val="single" w:color="000000" w:sz="4" w:space="0"/>
            </w:tcBorders>
          </w:tcPr>
          <w:p w14:paraId="57F03D65"/>
        </w:tc>
        <w:tc>
          <w:tcPr>
            <w:tcW w:w="7100" w:type="dxa"/>
            <w:tcBorders>
              <w:top w:val="single" w:color="000000" w:sz="4" w:space="0"/>
              <w:left w:val="single" w:color="000000" w:sz="4" w:space="0"/>
              <w:bottom w:val="single" w:color="000000" w:sz="4" w:space="0"/>
              <w:right w:val="single" w:color="000000" w:sz="4" w:space="0"/>
            </w:tcBorders>
            <w:vAlign w:val="top"/>
          </w:tcPr>
          <w:p w14:paraId="117C39FD">
            <w:pPr>
              <w:spacing w:before="0" w:after="0" w:line="369" w:lineRule="auto"/>
              <w:ind w:left="160" w:right="80" w:firstLine="0"/>
              <w:jc w:val="both"/>
              <w:rPr>
                <w:sz w:val="25"/>
              </w:rPr>
            </w:pPr>
            <w:r>
              <w:rPr>
                <w:rFonts w:hint="eastAsia" w:ascii="宋体" w:hAnsi="宋体" w:eastAsia="宋体"/>
                <w:color w:val="000000"/>
                <w:sz w:val="25"/>
              </w:rPr>
              <w:t>职工代表大会、员工座谈会、先进事迹座谈会、生产每日早会、部门月度例会、专题研讨会、员工满意度调查、团委年会</w:t>
            </w:r>
          </w:p>
        </w:tc>
        <w:tc>
          <w:tcPr>
            <w:tcW w:w="1420" w:type="dxa"/>
            <w:tcBorders>
              <w:top w:val="single" w:color="000000" w:sz="4" w:space="0"/>
              <w:left w:val="single" w:color="000000" w:sz="4" w:space="0"/>
              <w:bottom w:val="single" w:color="000000" w:sz="4" w:space="0"/>
              <w:right w:val="single" w:color="000000" w:sz="4" w:space="0"/>
            </w:tcBorders>
            <w:vAlign w:val="top"/>
          </w:tcPr>
          <w:p w14:paraId="470EEC7A">
            <w:pPr>
              <w:spacing w:before="377" w:after="0" w:line="239" w:lineRule="auto"/>
              <w:ind w:firstLine="140"/>
              <w:jc w:val="both"/>
              <w:rPr>
                <w:sz w:val="25"/>
              </w:rPr>
            </w:pPr>
            <w:r>
              <w:rPr>
                <w:rFonts w:hint="eastAsia" w:ascii="宋体" w:hAnsi="宋体" w:eastAsia="宋体"/>
                <w:color w:val="000000"/>
                <w:sz w:val="25"/>
              </w:rPr>
              <w:t>交流座谈</w:t>
            </w:r>
          </w:p>
        </w:tc>
      </w:tr>
      <w:tr w14:paraId="526C12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trPr>
        <w:tc>
          <w:tcPr>
            <w:tcW w:w="1280" w:type="dxa"/>
            <w:vMerge w:val="restart"/>
            <w:tcBorders>
              <w:top w:val="single" w:color="000000" w:sz="4" w:space="0"/>
              <w:left w:val="single" w:color="000000" w:sz="4" w:space="0"/>
              <w:bottom w:val="single" w:color="000000" w:sz="4" w:space="0"/>
              <w:right w:val="single" w:color="000000" w:sz="4" w:space="0"/>
            </w:tcBorders>
            <w:vAlign w:val="top"/>
          </w:tcPr>
          <w:p w14:paraId="484FA641">
            <w:pPr>
              <w:wordWrap w:val="0"/>
              <w:spacing w:before="0" w:after="0" w:line="383" w:lineRule="auto"/>
              <w:ind w:firstLine="0"/>
              <w:jc w:val="both"/>
              <w:rPr>
                <w:rFonts w:hint="eastAsia" w:ascii="宋体" w:hAnsi="宋体" w:eastAsia="宋体"/>
                <w:color w:val="000000"/>
                <w:sz w:val="25"/>
              </w:rPr>
            </w:pPr>
          </w:p>
          <w:p w14:paraId="34ABEAC9">
            <w:pPr>
              <w:spacing w:before="43" w:after="0" w:line="239" w:lineRule="auto"/>
              <w:jc w:val="center"/>
              <w:rPr>
                <w:sz w:val="25"/>
              </w:rPr>
            </w:pPr>
            <w:r>
              <w:rPr>
                <w:rFonts w:hint="eastAsia" w:ascii="宋体" w:hAnsi="宋体" w:eastAsia="宋体"/>
                <w:color w:val="000000"/>
                <w:sz w:val="25"/>
              </w:rPr>
              <w:t>顾客</w:t>
            </w:r>
          </w:p>
        </w:tc>
        <w:tc>
          <w:tcPr>
            <w:tcW w:w="7100" w:type="dxa"/>
            <w:tcBorders>
              <w:top w:val="single" w:color="000000" w:sz="4" w:space="0"/>
              <w:left w:val="single" w:color="000000" w:sz="4" w:space="0"/>
              <w:bottom w:val="single" w:color="000000" w:sz="4" w:space="0"/>
              <w:right w:val="single" w:color="000000" w:sz="4" w:space="0"/>
            </w:tcBorders>
            <w:vAlign w:val="top"/>
          </w:tcPr>
          <w:p w14:paraId="75315546">
            <w:pPr>
              <w:spacing w:before="395" w:after="0" w:line="239" w:lineRule="auto"/>
              <w:ind w:firstLine="160"/>
              <w:jc w:val="both"/>
              <w:rPr>
                <w:sz w:val="25"/>
              </w:rPr>
            </w:pPr>
            <w:r>
              <w:rPr>
                <w:rFonts w:hint="eastAsia" w:ascii="宋体" w:hAnsi="宋体" w:eastAsia="宋体"/>
                <w:color w:val="000000"/>
                <w:sz w:val="25"/>
              </w:rPr>
              <w:t>企业宣传册、产品手册、各种展览会、传真、电子邮件</w:t>
            </w:r>
          </w:p>
        </w:tc>
        <w:tc>
          <w:tcPr>
            <w:tcW w:w="1420" w:type="dxa"/>
            <w:tcBorders>
              <w:top w:val="single" w:color="000000" w:sz="4" w:space="0"/>
              <w:left w:val="single" w:color="000000" w:sz="4" w:space="0"/>
              <w:bottom w:val="single" w:color="000000" w:sz="4" w:space="0"/>
              <w:right w:val="single" w:color="000000" w:sz="4" w:space="0"/>
            </w:tcBorders>
            <w:vAlign w:val="top"/>
          </w:tcPr>
          <w:p w14:paraId="1F41BF0C">
            <w:pPr>
              <w:spacing w:before="95" w:after="0" w:line="239" w:lineRule="auto"/>
              <w:ind w:firstLine="140"/>
              <w:jc w:val="both"/>
              <w:rPr>
                <w:sz w:val="25"/>
              </w:rPr>
            </w:pPr>
            <w:r>
              <w:rPr>
                <w:rFonts w:hint="eastAsia" w:ascii="宋体" w:hAnsi="宋体" w:eastAsia="宋体"/>
                <w:color w:val="000000"/>
                <w:sz w:val="25"/>
              </w:rPr>
              <w:t>传播为主</w:t>
            </w:r>
          </w:p>
          <w:p w14:paraId="22C84482">
            <w:pPr>
              <w:spacing w:before="195" w:after="0" w:line="239" w:lineRule="auto"/>
              <w:ind w:firstLine="140"/>
              <w:jc w:val="both"/>
              <w:rPr>
                <w:sz w:val="25"/>
              </w:rPr>
            </w:pPr>
            <w:r>
              <w:rPr>
                <w:rFonts w:hint="eastAsia" w:ascii="宋体" w:hAnsi="宋体" w:eastAsia="宋体"/>
                <w:color w:val="000000"/>
                <w:sz w:val="25"/>
              </w:rPr>
              <w:t>注重反馈</w:t>
            </w:r>
          </w:p>
        </w:tc>
      </w:tr>
      <w:tr w14:paraId="32763E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280" w:type="dxa"/>
            <w:vMerge w:val="continue"/>
            <w:tcBorders>
              <w:top w:val="single" w:color="000000" w:sz="4" w:space="0"/>
              <w:left w:val="single" w:color="000000" w:sz="4" w:space="0"/>
              <w:bottom w:val="single" w:color="000000" w:sz="4" w:space="0"/>
              <w:right w:val="single" w:color="000000" w:sz="4" w:space="0"/>
            </w:tcBorders>
          </w:tcPr>
          <w:p w14:paraId="17CC9665"/>
        </w:tc>
        <w:tc>
          <w:tcPr>
            <w:tcW w:w="7100" w:type="dxa"/>
            <w:tcBorders>
              <w:top w:val="single" w:color="000000" w:sz="4" w:space="0"/>
              <w:left w:val="single" w:color="000000" w:sz="4" w:space="0"/>
              <w:bottom w:val="single" w:color="000000" w:sz="4" w:space="0"/>
              <w:right w:val="single" w:color="000000" w:sz="4" w:space="0"/>
            </w:tcBorders>
            <w:vAlign w:val="top"/>
          </w:tcPr>
          <w:p w14:paraId="14A9C6AB">
            <w:pPr>
              <w:spacing w:before="165" w:after="0" w:line="239" w:lineRule="auto"/>
              <w:ind w:firstLine="160"/>
              <w:jc w:val="both"/>
              <w:rPr>
                <w:sz w:val="24"/>
              </w:rPr>
            </w:pPr>
            <w:r>
              <w:rPr>
                <w:rFonts w:hint="eastAsia" w:ascii="宋体" w:hAnsi="宋体" w:eastAsia="宋体"/>
                <w:color w:val="000000"/>
                <w:sz w:val="24"/>
              </w:rPr>
              <w:t>高层互访、参加客户的供应商年会、专题交流会议、信息化系统</w:t>
            </w:r>
          </w:p>
        </w:tc>
        <w:tc>
          <w:tcPr>
            <w:tcW w:w="1420" w:type="dxa"/>
            <w:tcBorders>
              <w:top w:val="single" w:color="000000" w:sz="4" w:space="0"/>
              <w:left w:val="single" w:color="000000" w:sz="4" w:space="0"/>
              <w:bottom w:val="single" w:color="000000" w:sz="4" w:space="0"/>
              <w:right w:val="single" w:color="000000" w:sz="4" w:space="0"/>
            </w:tcBorders>
            <w:vAlign w:val="top"/>
          </w:tcPr>
          <w:p w14:paraId="1066F602">
            <w:pPr>
              <w:spacing w:before="112" w:after="0" w:line="239" w:lineRule="auto"/>
              <w:ind w:firstLine="140"/>
              <w:jc w:val="both"/>
              <w:rPr>
                <w:sz w:val="25"/>
              </w:rPr>
            </w:pPr>
            <w:r>
              <w:rPr>
                <w:rFonts w:hint="eastAsia" w:ascii="宋体" w:hAnsi="宋体" w:eastAsia="宋体"/>
                <w:color w:val="000000"/>
                <w:sz w:val="25"/>
              </w:rPr>
              <w:t>双向沟通</w:t>
            </w:r>
          </w:p>
        </w:tc>
      </w:tr>
      <w:tr w14:paraId="4CDBA6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280" w:type="dxa"/>
            <w:tcBorders>
              <w:top w:val="single" w:color="000000" w:sz="4" w:space="0"/>
              <w:left w:val="single" w:color="000000" w:sz="4" w:space="0"/>
              <w:bottom w:val="single" w:color="000000" w:sz="4" w:space="0"/>
              <w:right w:val="single" w:color="000000" w:sz="4" w:space="0"/>
            </w:tcBorders>
            <w:vAlign w:val="top"/>
          </w:tcPr>
          <w:p w14:paraId="002D832C">
            <w:pPr>
              <w:spacing w:before="31" w:after="0" w:line="239" w:lineRule="auto"/>
              <w:jc w:val="center"/>
              <w:rPr>
                <w:sz w:val="25"/>
              </w:rPr>
            </w:pPr>
            <w:r>
              <w:rPr>
                <w:rFonts w:hint="eastAsia" w:ascii="宋体" w:hAnsi="宋体" w:eastAsia="宋体"/>
                <w:color w:val="000000"/>
                <w:sz w:val="25"/>
              </w:rPr>
              <w:t>股东</w:t>
            </w:r>
          </w:p>
        </w:tc>
        <w:tc>
          <w:tcPr>
            <w:tcW w:w="7100" w:type="dxa"/>
            <w:tcBorders>
              <w:top w:val="single" w:color="000000" w:sz="4" w:space="0"/>
              <w:left w:val="single" w:color="000000" w:sz="4" w:space="0"/>
              <w:bottom w:val="single" w:color="000000" w:sz="4" w:space="0"/>
              <w:right w:val="single" w:color="000000" w:sz="4" w:space="0"/>
            </w:tcBorders>
            <w:vAlign w:val="top"/>
          </w:tcPr>
          <w:p w14:paraId="3F11FBFD">
            <w:pPr>
              <w:spacing w:before="111" w:after="0" w:line="239" w:lineRule="auto"/>
              <w:ind w:firstLine="160"/>
              <w:jc w:val="both"/>
              <w:rPr>
                <w:sz w:val="25"/>
              </w:rPr>
            </w:pPr>
            <w:r>
              <w:rPr>
                <w:rFonts w:hint="eastAsia" w:ascii="宋体" w:hAnsi="宋体" w:eastAsia="宋体"/>
                <w:color w:val="000000"/>
                <w:sz w:val="25"/>
              </w:rPr>
              <w:t>股东大会、个别沟通、新闻媒体、网站、投资者关系专线</w:t>
            </w:r>
          </w:p>
        </w:tc>
        <w:tc>
          <w:tcPr>
            <w:tcW w:w="1420" w:type="dxa"/>
            <w:tcBorders>
              <w:top w:val="single" w:color="000000" w:sz="4" w:space="0"/>
              <w:left w:val="single" w:color="000000" w:sz="4" w:space="0"/>
              <w:bottom w:val="single" w:color="000000" w:sz="4" w:space="0"/>
              <w:right w:val="single" w:color="000000" w:sz="4" w:space="0"/>
            </w:tcBorders>
            <w:vAlign w:val="top"/>
          </w:tcPr>
          <w:p w14:paraId="080E15B3">
            <w:pPr>
              <w:spacing w:before="51" w:after="0" w:line="239" w:lineRule="auto"/>
              <w:ind w:firstLine="140"/>
              <w:jc w:val="both"/>
              <w:rPr>
                <w:sz w:val="25"/>
              </w:rPr>
            </w:pPr>
            <w:r>
              <w:rPr>
                <w:rFonts w:hint="eastAsia" w:ascii="宋体" w:hAnsi="宋体" w:eastAsia="宋体"/>
                <w:color w:val="000000"/>
                <w:sz w:val="25"/>
              </w:rPr>
              <w:t>双向沟通</w:t>
            </w:r>
          </w:p>
        </w:tc>
      </w:tr>
      <w:tr w14:paraId="52CA5AB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40" w:hRule="atLeast"/>
        </w:trPr>
        <w:tc>
          <w:tcPr>
            <w:tcW w:w="1280" w:type="dxa"/>
            <w:tcBorders>
              <w:top w:val="single" w:color="000000" w:sz="4" w:space="0"/>
              <w:left w:val="single" w:color="000000" w:sz="4" w:space="0"/>
              <w:bottom w:val="single" w:color="000000" w:sz="4" w:space="0"/>
              <w:right w:val="single" w:color="000000" w:sz="4" w:space="0"/>
            </w:tcBorders>
            <w:vAlign w:val="top"/>
          </w:tcPr>
          <w:p w14:paraId="06EBD9E7">
            <w:pPr>
              <w:spacing w:before="330" w:after="0" w:line="239" w:lineRule="auto"/>
              <w:jc w:val="center"/>
              <w:rPr>
                <w:sz w:val="25"/>
              </w:rPr>
            </w:pPr>
            <w:r>
              <w:rPr>
                <w:rFonts w:hint="eastAsia" w:ascii="宋体" w:hAnsi="宋体" w:eastAsia="宋体"/>
                <w:color w:val="000000"/>
                <w:sz w:val="25"/>
              </w:rPr>
              <w:t>供应商</w:t>
            </w:r>
          </w:p>
        </w:tc>
        <w:tc>
          <w:tcPr>
            <w:tcW w:w="7100" w:type="dxa"/>
            <w:tcBorders>
              <w:top w:val="single" w:color="000000" w:sz="4" w:space="0"/>
              <w:left w:val="single" w:color="000000" w:sz="4" w:space="0"/>
              <w:bottom w:val="single" w:color="000000" w:sz="4" w:space="0"/>
              <w:right w:val="single" w:color="000000" w:sz="4" w:space="0"/>
            </w:tcBorders>
            <w:vAlign w:val="top"/>
          </w:tcPr>
          <w:p w14:paraId="3006F8BE">
            <w:pPr>
              <w:spacing w:before="0" w:after="0" w:line="360" w:lineRule="auto"/>
              <w:ind w:left="160" w:right="100" w:firstLine="0"/>
              <w:jc w:val="both"/>
              <w:rPr>
                <w:sz w:val="25"/>
              </w:rPr>
            </w:pPr>
            <w:r>
              <w:rPr>
                <w:rFonts w:hint="eastAsia" w:ascii="宋体" w:hAnsi="宋体" w:eastAsia="宋体"/>
                <w:color w:val="000000"/>
                <w:sz w:val="25"/>
              </w:rPr>
              <w:t>供应商大会、供应商座谈会、优秀供应商评选、供应商满意度调查、采购展会、实地考察、电话沟通、电子邮件、合同协议</w:t>
            </w:r>
          </w:p>
        </w:tc>
        <w:tc>
          <w:tcPr>
            <w:tcW w:w="1420" w:type="dxa"/>
            <w:tcBorders>
              <w:top w:val="single" w:color="000000" w:sz="4" w:space="0"/>
              <w:left w:val="single" w:color="000000" w:sz="4" w:space="0"/>
              <w:bottom w:val="single" w:color="000000" w:sz="4" w:space="0"/>
              <w:right w:val="single" w:color="000000" w:sz="4" w:space="0"/>
            </w:tcBorders>
            <w:vAlign w:val="top"/>
          </w:tcPr>
          <w:p w14:paraId="756BA2C5">
            <w:pPr>
              <w:spacing w:before="370" w:after="0" w:line="239" w:lineRule="auto"/>
              <w:ind w:firstLine="140"/>
              <w:jc w:val="both"/>
              <w:rPr>
                <w:sz w:val="25"/>
              </w:rPr>
            </w:pPr>
            <w:r>
              <w:rPr>
                <w:rFonts w:hint="eastAsia" w:ascii="宋体" w:hAnsi="宋体" w:eastAsia="宋体"/>
                <w:color w:val="000000"/>
                <w:sz w:val="25"/>
              </w:rPr>
              <w:t>双向沟通</w:t>
            </w:r>
          </w:p>
        </w:tc>
      </w:tr>
      <w:tr w14:paraId="4504C4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40" w:hRule="atLeast"/>
        </w:trPr>
        <w:tc>
          <w:tcPr>
            <w:tcW w:w="1280" w:type="dxa"/>
            <w:tcBorders>
              <w:top w:val="single" w:color="000000" w:sz="4" w:space="0"/>
              <w:left w:val="single" w:color="000000" w:sz="4" w:space="0"/>
              <w:bottom w:val="single" w:color="000000" w:sz="4" w:space="0"/>
              <w:right w:val="single" w:color="000000" w:sz="4" w:space="0"/>
            </w:tcBorders>
            <w:vAlign w:val="top"/>
          </w:tcPr>
          <w:p w14:paraId="048916E4">
            <w:pPr>
              <w:spacing w:before="222" w:after="0" w:line="239" w:lineRule="auto"/>
              <w:jc w:val="center"/>
              <w:rPr>
                <w:sz w:val="25"/>
              </w:rPr>
            </w:pPr>
            <w:r>
              <w:rPr>
                <w:rFonts w:hint="eastAsia" w:ascii="宋体" w:hAnsi="宋体" w:eastAsia="宋体"/>
                <w:color w:val="000000"/>
                <w:sz w:val="25"/>
              </w:rPr>
              <w:t>政府公众</w:t>
            </w:r>
          </w:p>
        </w:tc>
        <w:tc>
          <w:tcPr>
            <w:tcW w:w="7100" w:type="dxa"/>
            <w:tcBorders>
              <w:top w:val="single" w:color="000000" w:sz="4" w:space="0"/>
              <w:left w:val="single" w:color="000000" w:sz="4" w:space="0"/>
              <w:bottom w:val="single" w:color="000000" w:sz="4" w:space="0"/>
              <w:right w:val="single" w:color="000000" w:sz="4" w:space="0"/>
            </w:tcBorders>
            <w:vAlign w:val="top"/>
          </w:tcPr>
          <w:p w14:paraId="7318445A">
            <w:pPr>
              <w:spacing w:before="0" w:after="0" w:line="355" w:lineRule="auto"/>
              <w:ind w:left="160" w:right="100" w:firstLine="20"/>
              <w:jc w:val="both"/>
              <w:rPr>
                <w:sz w:val="25"/>
              </w:rPr>
            </w:pPr>
            <w:r>
              <w:rPr>
                <w:rFonts w:hint="eastAsia" w:ascii="宋体" w:hAnsi="宋体" w:eastAsia="宋体"/>
                <w:color w:val="000000"/>
                <w:sz w:val="25"/>
              </w:rPr>
              <w:t>工作汇报、参观指导、公益活动、慈善捐赠、结对扶贫、企业网站、重大事项公告、宣传册、宣传</w:t>
            </w:r>
          </w:p>
        </w:tc>
        <w:tc>
          <w:tcPr>
            <w:tcW w:w="1420" w:type="dxa"/>
            <w:tcBorders>
              <w:top w:val="single" w:color="000000" w:sz="4" w:space="0"/>
              <w:left w:val="single" w:color="000000" w:sz="4" w:space="0"/>
              <w:bottom w:val="single" w:color="000000" w:sz="4" w:space="0"/>
              <w:right w:val="single" w:color="000000" w:sz="4" w:space="0"/>
            </w:tcBorders>
            <w:vAlign w:val="top"/>
          </w:tcPr>
          <w:p w14:paraId="4D47198B">
            <w:pPr>
              <w:spacing w:before="108" w:after="0" w:line="239" w:lineRule="auto"/>
              <w:ind w:firstLine="140"/>
              <w:jc w:val="both"/>
              <w:rPr>
                <w:sz w:val="25"/>
              </w:rPr>
            </w:pPr>
            <w:r>
              <w:rPr>
                <w:rFonts w:hint="eastAsia" w:ascii="宋体" w:hAnsi="宋体" w:eastAsia="宋体"/>
                <w:color w:val="000000"/>
                <w:sz w:val="25"/>
              </w:rPr>
              <w:t>传播为主</w:t>
            </w:r>
          </w:p>
          <w:p w14:paraId="0B0C0F44">
            <w:pPr>
              <w:spacing w:before="195" w:after="0" w:line="239" w:lineRule="auto"/>
              <w:ind w:firstLine="140"/>
              <w:jc w:val="both"/>
              <w:rPr>
                <w:sz w:val="25"/>
              </w:rPr>
            </w:pPr>
            <w:r>
              <w:rPr>
                <w:rFonts w:hint="eastAsia" w:ascii="宋体" w:hAnsi="宋体" w:eastAsia="宋体"/>
                <w:color w:val="000000"/>
                <w:sz w:val="25"/>
              </w:rPr>
              <w:t>注重反馈</w:t>
            </w:r>
          </w:p>
        </w:tc>
      </w:tr>
    </w:tbl>
    <w:p w14:paraId="5F530C57">
      <w:pPr>
        <w:wordWrap w:val="0"/>
        <w:spacing w:before="135" w:after="0" w:line="239" w:lineRule="auto"/>
        <w:ind w:firstLine="860"/>
        <w:jc w:val="both"/>
        <w:rPr>
          <w:sz w:val="25"/>
        </w:rPr>
        <w:sectPr>
          <w:headerReference r:id="rId7" w:type="default"/>
          <w:footerReference r:id="rId8" w:type="default"/>
          <w:type w:val="continuous"/>
          <w:pgSz w:w="11900" w:h="17000"/>
          <w:pgMar w:top="720" w:right="960" w:bottom="1440" w:left="960" w:header="360" w:footer="720" w:gutter="0"/>
          <w:cols w:space="720" w:num="1"/>
        </w:sectPr>
      </w:pPr>
      <w:r>
        <w:rPr>
          <w:rFonts w:hint="eastAsia" w:ascii="宋体" w:hAnsi="宋体" w:eastAsia="宋体"/>
          <w:b/>
          <w:color w:val="000000"/>
          <w:sz w:val="25"/>
        </w:rPr>
        <w:t>二、追求高质量的产品和服务的社会责任</w:t>
      </w:r>
    </w:p>
    <w:p w14:paraId="34DD8FE7">
      <w:pPr>
        <w:wordWrap w:val="0"/>
        <w:spacing w:before="0" w:after="0" w:line="314" w:lineRule="auto"/>
        <w:ind w:left="40" w:right="180" w:firstLine="560"/>
        <w:jc w:val="both"/>
        <w:rPr>
          <w:sz w:val="29"/>
        </w:rPr>
      </w:pPr>
      <w:r>
        <w:rPr>
          <w:rFonts w:hint="eastAsia" w:ascii="宋体" w:hAnsi="宋体" w:eastAsia="宋体"/>
          <w:color w:val="000000"/>
          <w:sz w:val="29"/>
        </w:rPr>
        <w:t>公司认为，企业最大的社会责任，是为顾客提供高质量的产品和服务，这个信念始终贯穿企业经营的始终。企业经营的目的是获取利润，但获取利润的途径，是为社会创造价值。因此我们不断追求进步和创新。</w:t>
      </w:r>
      <w:r>
        <w:drawing>
          <wp:anchor distT="0" distB="0" distL="114300" distR="114300" simplePos="0" relativeHeight="251659264" behindDoc="1" locked="0" layoutInCell="1" allowOverlap="1">
            <wp:simplePos x="0" y="0"/>
            <wp:positionH relativeFrom="page">
              <wp:posOffset>7327900</wp:posOffset>
            </wp:positionH>
            <wp:positionV relativeFrom="page">
              <wp:posOffset>6350000</wp:posOffset>
            </wp:positionV>
            <wp:extent cx="304800" cy="1511300"/>
            <wp:effectExtent l="0" t="0" r="2540" b="4445"/>
            <wp:wrapNone/>
            <wp:docPr id="5"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MP"/>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04800" cy="1511300"/>
                    </a:xfrm>
                    <a:prstGeom prst="rect">
                      <a:avLst/>
                    </a:prstGeom>
                  </pic:spPr>
                </pic:pic>
              </a:graphicData>
            </a:graphic>
          </wp:anchor>
        </w:drawing>
      </w:r>
    </w:p>
    <w:p w14:paraId="0299B683">
      <w:pPr>
        <w:wordWrap w:val="0"/>
        <w:spacing w:before="0" w:after="0" w:line="240" w:lineRule="auto"/>
        <w:ind w:firstLine="0"/>
        <w:jc w:val="both"/>
        <w:rPr>
          <w:rFonts w:hint="eastAsia" w:ascii="宋体" w:hAnsi="宋体" w:eastAsia="宋体"/>
          <w:color w:val="000000"/>
          <w:sz w:val="21"/>
        </w:rPr>
      </w:pPr>
    </w:p>
    <w:p w14:paraId="646FFE52">
      <w:pPr>
        <w:wordWrap w:val="0"/>
        <w:spacing w:before="0" w:after="0" w:line="240" w:lineRule="auto"/>
        <w:ind w:firstLine="600"/>
        <w:jc w:val="both"/>
        <w:rPr>
          <w:sz w:val="29"/>
        </w:rPr>
      </w:pPr>
      <w:r>
        <w:rPr>
          <w:rFonts w:hint="eastAsia" w:ascii="宋体" w:hAnsi="宋体" w:eastAsia="宋体"/>
          <w:color w:val="000000"/>
          <w:sz w:val="29"/>
        </w:rPr>
        <w:t>公司通过了</w:t>
      </w:r>
      <w:r>
        <w:rPr>
          <w:rFonts w:hint="eastAsia" w:ascii="Calibri" w:hAnsi="Calibri" w:eastAsia="Calibri"/>
          <w:color w:val="000000"/>
          <w:sz w:val="29"/>
        </w:rPr>
        <w:t>IS09001</w:t>
      </w:r>
      <w:r>
        <w:rPr>
          <w:rFonts w:hint="eastAsia" w:ascii="宋体" w:hAnsi="宋体" w:eastAsia="宋体"/>
          <w:color w:val="000000"/>
          <w:sz w:val="29"/>
        </w:rPr>
        <w:t>质量管理体系认证。</w:t>
      </w:r>
    </w:p>
    <w:p w14:paraId="116B42DD">
      <w:pPr>
        <w:wordWrap w:val="0"/>
        <w:spacing w:before="0" w:after="0" w:line="240" w:lineRule="auto"/>
        <w:ind w:firstLine="0"/>
        <w:jc w:val="both"/>
        <w:rPr>
          <w:rFonts w:hint="eastAsia" w:ascii="宋体" w:hAnsi="宋体" w:eastAsia="宋体"/>
          <w:color w:val="000000"/>
          <w:sz w:val="21"/>
        </w:rPr>
      </w:pPr>
    </w:p>
    <w:p w14:paraId="3487AB99">
      <w:pPr>
        <w:wordWrap w:val="0"/>
        <w:spacing w:before="0" w:after="0" w:line="314" w:lineRule="auto"/>
        <w:ind w:left="40" w:right="180" w:firstLine="560"/>
        <w:jc w:val="both"/>
        <w:rPr>
          <w:sz w:val="29"/>
        </w:rPr>
      </w:pPr>
      <w:r>
        <w:rPr>
          <w:rFonts w:hint="eastAsia" w:ascii="宋体" w:hAnsi="宋体" w:eastAsia="宋体"/>
          <w:color w:val="000000"/>
          <w:sz w:val="29"/>
        </w:rPr>
        <w:t>为履行确保组织所提供产品和服务的质量安全的职责，引导组织承担质量安全主体责任，公司高度重视质量管理体系的建设，在对产品质量进行严格把关，并满足各项标准指标的同时，建立了完善的质量管理体系。</w:t>
      </w:r>
    </w:p>
    <w:p w14:paraId="21ED6342">
      <w:pPr>
        <w:wordWrap w:val="0"/>
        <w:spacing w:before="0" w:after="0" w:line="240" w:lineRule="auto"/>
        <w:ind w:firstLine="0"/>
        <w:jc w:val="both"/>
        <w:rPr>
          <w:rFonts w:hint="eastAsia" w:ascii="宋体" w:hAnsi="宋体" w:eastAsia="宋体"/>
          <w:color w:val="000000"/>
          <w:sz w:val="21"/>
        </w:rPr>
      </w:pPr>
    </w:p>
    <w:p w14:paraId="48464D09">
      <w:pPr>
        <w:wordWrap w:val="0"/>
        <w:spacing w:before="0" w:after="0" w:line="314" w:lineRule="auto"/>
        <w:ind w:left="40" w:right="180" w:firstLine="560"/>
        <w:jc w:val="both"/>
        <w:rPr>
          <w:sz w:val="29"/>
        </w:rPr>
      </w:pPr>
      <w:r>
        <w:rPr>
          <w:rFonts w:hint="eastAsia" w:ascii="宋体" w:hAnsi="宋体" w:eastAsia="宋体"/>
          <w:color w:val="000000"/>
          <w:sz w:val="29"/>
        </w:rPr>
        <w:t>目前公司已制定了一系列的质量控制措施，涵盖了从产品设计、原材料采购、产品制造、产品检验、性能测试、包装储运到客户服务等各个环节，对各部门的质量控制工作进行有效的指导和监督；同时，公司以满足客户、经销商、代理商、门店等要求作为标准，由各专门部门负责，认真抓好产品质量的持续改进工作。</w:t>
      </w:r>
    </w:p>
    <w:p w14:paraId="4113D85C">
      <w:pPr>
        <w:wordWrap w:val="0"/>
        <w:spacing w:before="0" w:after="0" w:line="240" w:lineRule="auto"/>
        <w:ind w:firstLine="0"/>
        <w:jc w:val="both"/>
        <w:rPr>
          <w:rFonts w:hint="eastAsia" w:ascii="宋体" w:hAnsi="宋体" w:eastAsia="宋体"/>
          <w:color w:val="000000"/>
          <w:sz w:val="21"/>
        </w:rPr>
      </w:pPr>
    </w:p>
    <w:p w14:paraId="654482A5">
      <w:pPr>
        <w:wordWrap w:val="0"/>
        <w:spacing w:before="25" w:after="0" w:line="240" w:lineRule="auto"/>
        <w:ind w:firstLine="600"/>
        <w:jc w:val="both"/>
        <w:rPr>
          <w:sz w:val="29"/>
        </w:rPr>
      </w:pPr>
      <w:r>
        <w:rPr>
          <w:rFonts w:hint="eastAsia" w:ascii="宋体" w:hAnsi="宋体" w:eastAsia="宋体"/>
          <w:b/>
          <w:color w:val="000000"/>
          <w:sz w:val="29"/>
        </w:rPr>
        <w:t>三、遵守国家法律法规的社会责任</w:t>
      </w:r>
    </w:p>
    <w:p w14:paraId="6A751D27">
      <w:pPr>
        <w:wordWrap w:val="0"/>
        <w:spacing w:before="0" w:after="0" w:line="240" w:lineRule="auto"/>
        <w:ind w:firstLine="0"/>
        <w:jc w:val="both"/>
        <w:rPr>
          <w:rFonts w:hint="eastAsia" w:ascii="宋体" w:hAnsi="宋体" w:eastAsia="宋体"/>
          <w:color w:val="000000"/>
          <w:sz w:val="21"/>
        </w:rPr>
      </w:pPr>
    </w:p>
    <w:p w14:paraId="2EA8B22D">
      <w:pPr>
        <w:wordWrap w:val="0"/>
        <w:spacing w:before="0" w:after="0" w:line="314" w:lineRule="auto"/>
        <w:ind w:left="40" w:right="180" w:firstLine="560"/>
        <w:jc w:val="both"/>
        <w:rPr>
          <w:sz w:val="29"/>
        </w:rPr>
      </w:pPr>
      <w:r>
        <w:rPr>
          <w:rFonts w:hint="eastAsia" w:ascii="宋体" w:hAnsi="宋体" w:eastAsia="宋体"/>
          <w:color w:val="000000"/>
          <w:sz w:val="29"/>
        </w:rPr>
        <w:t>公司的产品、服务和运营主要涉及质量安全、环境保护、能源节约、资源综合利用、安全生产、公共卫生等方面的影响。公司严格按照《环境保护法》、《大气污染防治法》、《水污染防治法》、《安全生产法》等国家法律法规，近三年，公司的废水、废气、噪声均达到国家和地方规定的排放标准；公司工业固废均进行了处理、处置，危险废物处置率达</w:t>
      </w:r>
      <w:r>
        <w:rPr>
          <w:rFonts w:hint="eastAsia" w:ascii="Calibri" w:hAnsi="Calibri" w:eastAsia="Calibri"/>
          <w:color w:val="000000"/>
          <w:sz w:val="29"/>
        </w:rPr>
        <w:t>100</w:t>
      </w:r>
      <w:r>
        <w:rPr>
          <w:rFonts w:hint="eastAsia" w:ascii="宋体" w:hAnsi="宋体" w:eastAsia="宋体"/>
          <w:color w:val="000000"/>
          <w:sz w:val="29"/>
        </w:rPr>
        <w:t>％；公司污染治理设施落实专人操作管理，排放的污染物达到国家规定的标准，排放总量在控制范围内。</w:t>
      </w:r>
    </w:p>
    <w:p w14:paraId="4BF04B31">
      <w:pPr>
        <w:wordWrap w:val="0"/>
        <w:spacing w:before="0" w:after="0" w:line="240" w:lineRule="auto"/>
        <w:ind w:firstLine="0"/>
        <w:jc w:val="both"/>
        <w:rPr>
          <w:rFonts w:hint="eastAsia" w:ascii="宋体" w:hAnsi="宋体" w:eastAsia="宋体"/>
          <w:color w:val="000000"/>
          <w:sz w:val="21"/>
        </w:rPr>
      </w:pPr>
    </w:p>
    <w:p w14:paraId="59F791E7">
      <w:pPr>
        <w:wordWrap w:val="0"/>
        <w:spacing w:before="0" w:after="0" w:line="314" w:lineRule="auto"/>
        <w:ind w:left="40" w:right="180" w:firstLine="560"/>
        <w:jc w:val="both"/>
        <w:rPr>
          <w:sz w:val="29"/>
        </w:rPr>
      </w:pPr>
      <w:r>
        <w:rPr>
          <w:rFonts w:hint="eastAsia" w:ascii="宋体" w:hAnsi="宋体" w:eastAsia="宋体"/>
          <w:color w:val="000000"/>
          <w:sz w:val="29"/>
        </w:rPr>
        <w:t>公司非常关注自身产品、服务及运营方面对未来质量安全、环境、能源消耗、资源综合利用以及公共卫生等方面可能存在的公众隐忧，积极研究对策并预先做出应对准备。为此，公司制定了《突发环境事件应急预案》，充分将上述公众隐忧纳入制度规范。</w:t>
      </w:r>
    </w:p>
    <w:p w14:paraId="22A71330">
      <w:pPr>
        <w:wordWrap w:val="0"/>
        <w:spacing w:before="0" w:after="0" w:line="240" w:lineRule="auto"/>
        <w:ind w:firstLine="0"/>
        <w:jc w:val="both"/>
        <w:rPr>
          <w:rFonts w:hint="eastAsia" w:ascii="宋体" w:hAnsi="宋体" w:eastAsia="宋体"/>
          <w:color w:val="000000"/>
          <w:sz w:val="21"/>
        </w:rPr>
      </w:pPr>
    </w:p>
    <w:p w14:paraId="1693D799">
      <w:pPr>
        <w:wordWrap w:val="0"/>
        <w:spacing w:before="40" w:after="0" w:line="239" w:lineRule="auto"/>
        <w:ind w:firstLine="600"/>
        <w:jc w:val="both"/>
        <w:rPr>
          <w:sz w:val="26"/>
        </w:rPr>
        <w:sectPr>
          <w:headerReference r:id="rId9" w:type="default"/>
          <w:footerReference r:id="rId10" w:type="default"/>
          <w:type w:val="continuous"/>
          <w:pgSz w:w="11900" w:h="16820"/>
          <w:pgMar w:top="720" w:right="1200" w:bottom="1680" w:left="1200" w:header="360" w:footer="840" w:gutter="0"/>
          <w:cols w:space="720" w:num="1"/>
        </w:sectPr>
      </w:pPr>
      <w:r>
        <w:rPr>
          <w:rFonts w:hint="eastAsia" w:ascii="宋体" w:hAnsi="宋体" w:eastAsia="宋体"/>
          <w:color w:val="000000"/>
          <w:sz w:val="26"/>
        </w:rPr>
        <w:t>为确保内部运行符合道德要求，公司制定了道德行为测量指标与方法。如下</w:t>
      </w:r>
    </w:p>
    <w:p w14:paraId="2298E0D1">
      <w:pPr>
        <w:wordWrap w:val="0"/>
        <w:spacing w:before="0" w:after="0" w:line="192" w:lineRule="auto"/>
        <w:ind w:firstLine="40"/>
        <w:jc w:val="both"/>
        <w:rPr>
          <w:sz w:val="28"/>
        </w:rPr>
      </w:pPr>
      <w:r>
        <w:rPr>
          <w:rFonts w:hint="eastAsia" w:ascii="宋体" w:hAnsi="宋体" w:eastAsia="宋体"/>
          <w:color w:val="000000"/>
          <w:sz w:val="28"/>
        </w:rPr>
        <w:t>表：</w:t>
      </w:r>
      <w:r>
        <w:drawing>
          <wp:anchor distT="0" distB="0" distL="114300" distR="114300" simplePos="0" relativeHeight="251659264" behindDoc="1" locked="0" layoutInCell="1" allowOverlap="1">
            <wp:simplePos x="0" y="0"/>
            <wp:positionH relativeFrom="page">
              <wp:posOffset>7327900</wp:posOffset>
            </wp:positionH>
            <wp:positionV relativeFrom="page">
              <wp:posOffset>6515100</wp:posOffset>
            </wp:positionV>
            <wp:extent cx="228600" cy="1536700"/>
            <wp:effectExtent l="0" t="0" r="2540" b="4445"/>
            <wp:wrapNone/>
            <wp:docPr id="6"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MP"/>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28600" cy="1536700"/>
                    </a:xfrm>
                    <a:prstGeom prst="rect">
                      <a:avLst/>
                    </a:prstGeom>
                  </pic:spPr>
                </pic:pic>
              </a:graphicData>
            </a:graphic>
          </wp:anchor>
        </w:drawing>
      </w:r>
    </w:p>
    <w:p w14:paraId="6B7E44F0">
      <w:pPr>
        <w:wordWrap w:val="0"/>
        <w:spacing w:before="0" w:after="0" w:line="240" w:lineRule="auto"/>
        <w:ind w:firstLine="0"/>
        <w:jc w:val="both"/>
        <w:rPr>
          <w:rFonts w:hint="eastAsia" w:ascii="宋体" w:hAnsi="宋体" w:eastAsia="宋体"/>
          <w:color w:val="000000"/>
          <w:sz w:val="21"/>
        </w:rPr>
      </w:pPr>
    </w:p>
    <w:p w14:paraId="63D48F6E">
      <w:pPr>
        <w:wordWrap w:val="0"/>
        <w:spacing w:before="0" w:after="0" w:line="240" w:lineRule="auto"/>
        <w:ind w:firstLine="0"/>
        <w:jc w:val="both"/>
        <w:rPr>
          <w:rFonts w:hint="eastAsia" w:ascii="宋体" w:hAnsi="宋体" w:eastAsia="宋体"/>
          <w:color w:val="000000"/>
          <w:sz w:val="21"/>
        </w:rPr>
      </w:pPr>
    </w:p>
    <w:p w14:paraId="593BCE6A">
      <w:pPr>
        <w:wordWrap w:val="0"/>
        <w:spacing w:before="0" w:after="0" w:line="196" w:lineRule="auto"/>
        <w:ind w:firstLine="3420"/>
        <w:jc w:val="both"/>
        <w:rPr>
          <w:sz w:val="30"/>
        </w:rPr>
      </w:pPr>
      <w:r>
        <w:rPr>
          <w:rFonts w:hint="eastAsia" w:ascii="宋体" w:hAnsi="宋体" w:eastAsia="宋体"/>
          <w:b/>
          <w:color w:val="000000"/>
          <w:sz w:val="30"/>
        </w:rPr>
        <w:t>道德行为监测方式、方法</w:t>
      </w:r>
    </w:p>
    <w:p w14:paraId="7431411E">
      <w:pPr>
        <w:wordWrap w:val="0"/>
        <w:spacing w:before="0" w:after="0" w:line="308" w:lineRule="auto"/>
        <w:ind w:firstLine="0"/>
        <w:jc w:val="both"/>
        <w:rPr>
          <w:rFonts w:hint="eastAsia" w:ascii="宋体" w:hAnsi="宋体" w:eastAsia="宋体"/>
          <w:color w:val="000000"/>
          <w:sz w:val="12"/>
        </w:rPr>
      </w:pPr>
    </w:p>
    <w:tbl>
      <w:tblPr>
        <w:tblStyle w:val="2"/>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40"/>
        <w:gridCol w:w="1320"/>
        <w:gridCol w:w="2240"/>
        <w:gridCol w:w="2160"/>
        <w:gridCol w:w="2100"/>
      </w:tblGrid>
      <w:tr w14:paraId="296E54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140" w:type="dxa"/>
            <w:tcBorders>
              <w:top w:val="single" w:color="000000" w:sz="4" w:space="0"/>
              <w:left w:val="single" w:color="000000" w:sz="4" w:space="0"/>
              <w:bottom w:val="single" w:color="000000" w:sz="4" w:space="0"/>
              <w:right w:val="single" w:color="000000" w:sz="4" w:space="0"/>
            </w:tcBorders>
            <w:vAlign w:val="top"/>
          </w:tcPr>
          <w:p w14:paraId="2E0C0362">
            <w:pPr>
              <w:spacing w:before="52" w:after="0" w:line="239" w:lineRule="auto"/>
              <w:jc w:val="center"/>
              <w:rPr>
                <w:sz w:val="26"/>
              </w:rPr>
            </w:pPr>
            <w:r>
              <w:rPr>
                <w:rFonts w:hint="eastAsia" w:ascii="宋体" w:hAnsi="宋体" w:eastAsia="宋体"/>
                <w:color w:val="000000"/>
                <w:sz w:val="26"/>
              </w:rPr>
              <w:t>监督对象</w:t>
            </w:r>
          </w:p>
        </w:tc>
        <w:tc>
          <w:tcPr>
            <w:tcW w:w="1320" w:type="dxa"/>
            <w:tcBorders>
              <w:top w:val="single" w:color="000000" w:sz="4" w:space="0"/>
              <w:left w:val="single" w:color="000000" w:sz="4" w:space="0"/>
              <w:bottom w:val="single" w:color="000000" w:sz="4" w:space="0"/>
              <w:right w:val="single" w:color="000000" w:sz="4" w:space="0"/>
            </w:tcBorders>
            <w:vAlign w:val="top"/>
          </w:tcPr>
          <w:p w14:paraId="023DFC2F">
            <w:pPr>
              <w:spacing w:before="6" w:after="0" w:line="240" w:lineRule="auto"/>
              <w:jc w:val="center"/>
              <w:rPr>
                <w:sz w:val="28"/>
              </w:rPr>
            </w:pPr>
            <w:r>
              <w:rPr>
                <w:rFonts w:hint="eastAsia" w:ascii="宋体" w:hAnsi="宋体" w:eastAsia="宋体"/>
                <w:color w:val="000000"/>
                <w:sz w:val="28"/>
              </w:rPr>
              <w:t>监测过程</w:t>
            </w:r>
          </w:p>
        </w:tc>
        <w:tc>
          <w:tcPr>
            <w:tcW w:w="2240" w:type="dxa"/>
            <w:tcBorders>
              <w:top w:val="single" w:color="000000" w:sz="4" w:space="0"/>
              <w:left w:val="single" w:color="000000" w:sz="4" w:space="0"/>
              <w:bottom w:val="single" w:color="000000" w:sz="4" w:space="0"/>
              <w:right w:val="single" w:color="000000" w:sz="4" w:space="0"/>
            </w:tcBorders>
            <w:vAlign w:val="top"/>
          </w:tcPr>
          <w:p w14:paraId="15BB552D">
            <w:pPr>
              <w:spacing w:before="6" w:after="0" w:line="240" w:lineRule="auto"/>
              <w:ind w:firstLine="645"/>
              <w:jc w:val="both"/>
              <w:rPr>
                <w:sz w:val="28"/>
              </w:rPr>
            </w:pPr>
            <w:r>
              <w:rPr>
                <w:rFonts w:hint="eastAsia" w:ascii="宋体" w:hAnsi="宋体" w:eastAsia="宋体"/>
                <w:color w:val="000000"/>
                <w:sz w:val="28"/>
              </w:rPr>
              <w:t>监督部门</w:t>
            </w:r>
          </w:p>
        </w:tc>
        <w:tc>
          <w:tcPr>
            <w:tcW w:w="2160" w:type="dxa"/>
            <w:tcBorders>
              <w:top w:val="single" w:color="000000" w:sz="4" w:space="0"/>
              <w:left w:val="single" w:color="000000" w:sz="4" w:space="0"/>
              <w:bottom w:val="single" w:color="000000" w:sz="4" w:space="0"/>
              <w:right w:val="single" w:color="000000" w:sz="4" w:space="0"/>
            </w:tcBorders>
            <w:vAlign w:val="top"/>
          </w:tcPr>
          <w:p w14:paraId="4D90E646">
            <w:pPr>
              <w:spacing w:before="6" w:after="0" w:line="240" w:lineRule="auto"/>
              <w:jc w:val="center"/>
              <w:rPr>
                <w:sz w:val="28"/>
              </w:rPr>
            </w:pPr>
            <w:r>
              <w:rPr>
                <w:rFonts w:hint="eastAsia" w:ascii="宋体" w:hAnsi="宋体" w:eastAsia="宋体"/>
                <w:color w:val="000000"/>
                <w:sz w:val="28"/>
              </w:rPr>
              <w:t>测量方法</w:t>
            </w:r>
          </w:p>
        </w:tc>
        <w:tc>
          <w:tcPr>
            <w:tcW w:w="2100" w:type="dxa"/>
            <w:tcBorders>
              <w:top w:val="single" w:color="000000" w:sz="4" w:space="0"/>
              <w:left w:val="single" w:color="000000" w:sz="4" w:space="0"/>
              <w:bottom w:val="single" w:color="000000" w:sz="4" w:space="0"/>
              <w:right w:val="single" w:color="000000" w:sz="4" w:space="0"/>
            </w:tcBorders>
            <w:vAlign w:val="top"/>
          </w:tcPr>
          <w:p w14:paraId="088DEC95">
            <w:pPr>
              <w:spacing w:before="6" w:after="0" w:line="240" w:lineRule="auto"/>
              <w:ind w:firstLine="595"/>
              <w:jc w:val="both"/>
              <w:rPr>
                <w:sz w:val="28"/>
              </w:rPr>
            </w:pPr>
            <w:r>
              <w:rPr>
                <w:rFonts w:hint="eastAsia" w:ascii="宋体" w:hAnsi="宋体" w:eastAsia="宋体"/>
                <w:color w:val="000000"/>
                <w:sz w:val="28"/>
              </w:rPr>
              <w:t>测量指标</w:t>
            </w:r>
          </w:p>
        </w:tc>
      </w:tr>
      <w:tr w14:paraId="531BF12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1140" w:type="dxa"/>
            <w:tcBorders>
              <w:top w:val="single" w:color="000000" w:sz="4" w:space="0"/>
              <w:left w:val="single" w:color="000000" w:sz="4" w:space="0"/>
              <w:bottom w:val="single" w:color="000000" w:sz="4" w:space="0"/>
              <w:right w:val="single" w:color="000000" w:sz="4" w:space="0"/>
            </w:tcBorders>
            <w:vAlign w:val="top"/>
          </w:tcPr>
          <w:p w14:paraId="3195E1CE">
            <w:pPr>
              <w:spacing w:before="266" w:after="0" w:line="240" w:lineRule="auto"/>
              <w:jc w:val="center"/>
              <w:rPr>
                <w:sz w:val="28"/>
              </w:rPr>
            </w:pPr>
            <w:r>
              <w:rPr>
                <w:rFonts w:hint="eastAsia" w:ascii="宋体" w:hAnsi="宋体" w:eastAsia="宋体"/>
                <w:color w:val="000000"/>
                <w:sz w:val="28"/>
              </w:rPr>
              <w:t>高层</w:t>
            </w:r>
          </w:p>
        </w:tc>
        <w:tc>
          <w:tcPr>
            <w:tcW w:w="1320" w:type="dxa"/>
            <w:tcBorders>
              <w:top w:val="single" w:color="000000" w:sz="4" w:space="0"/>
              <w:left w:val="single" w:color="000000" w:sz="4" w:space="0"/>
              <w:bottom w:val="single" w:color="000000" w:sz="4" w:space="0"/>
              <w:right w:val="single" w:color="000000" w:sz="4" w:space="0"/>
            </w:tcBorders>
            <w:vAlign w:val="top"/>
          </w:tcPr>
          <w:p w14:paraId="62666EB5">
            <w:pPr>
              <w:spacing w:before="285" w:after="0" w:line="239" w:lineRule="auto"/>
              <w:jc w:val="center"/>
              <w:rPr>
                <w:sz w:val="25"/>
              </w:rPr>
            </w:pPr>
            <w:r>
              <w:rPr>
                <w:rFonts w:hint="eastAsia" w:ascii="宋体" w:hAnsi="宋体" w:eastAsia="宋体"/>
                <w:color w:val="000000"/>
                <w:sz w:val="25"/>
              </w:rPr>
              <w:t>勤政、廉政</w:t>
            </w:r>
          </w:p>
        </w:tc>
        <w:tc>
          <w:tcPr>
            <w:tcW w:w="2240" w:type="dxa"/>
            <w:tcBorders>
              <w:top w:val="single" w:color="000000" w:sz="4" w:space="0"/>
              <w:left w:val="single" w:color="000000" w:sz="4" w:space="0"/>
              <w:bottom w:val="single" w:color="000000" w:sz="4" w:space="0"/>
              <w:right w:val="single" w:color="000000" w:sz="4" w:space="0"/>
            </w:tcBorders>
            <w:vAlign w:val="top"/>
          </w:tcPr>
          <w:p w14:paraId="5D7C35A0">
            <w:pPr>
              <w:spacing w:before="226" w:after="0" w:line="240" w:lineRule="auto"/>
              <w:ind w:firstLine="65"/>
              <w:jc w:val="both"/>
              <w:rPr>
                <w:sz w:val="28"/>
              </w:rPr>
            </w:pPr>
            <w:r>
              <w:rPr>
                <w:rFonts w:hint="eastAsia" w:ascii="宋体" w:hAnsi="宋体" w:eastAsia="宋体"/>
                <w:color w:val="000000"/>
                <w:sz w:val="28"/>
              </w:rPr>
              <w:t>董事会行政部</w:t>
            </w:r>
          </w:p>
        </w:tc>
        <w:tc>
          <w:tcPr>
            <w:tcW w:w="2160" w:type="dxa"/>
            <w:tcBorders>
              <w:top w:val="single" w:color="000000" w:sz="4" w:space="0"/>
              <w:left w:val="single" w:color="000000" w:sz="4" w:space="0"/>
              <w:bottom w:val="single" w:color="000000" w:sz="4" w:space="0"/>
              <w:right w:val="single" w:color="000000" w:sz="4" w:space="0"/>
            </w:tcBorders>
            <w:vAlign w:val="top"/>
          </w:tcPr>
          <w:p w14:paraId="069F0A6F">
            <w:pPr>
              <w:spacing w:before="291" w:after="0" w:line="240" w:lineRule="auto"/>
              <w:jc w:val="center"/>
              <w:rPr>
                <w:sz w:val="23"/>
              </w:rPr>
            </w:pPr>
            <w:r>
              <w:rPr>
                <w:rFonts w:hint="eastAsia" w:ascii="宋体" w:hAnsi="宋体" w:eastAsia="宋体"/>
                <w:color w:val="000000"/>
                <w:sz w:val="23"/>
              </w:rPr>
              <w:t>制度规范、投诉举报</w:t>
            </w:r>
          </w:p>
        </w:tc>
        <w:tc>
          <w:tcPr>
            <w:tcW w:w="2100" w:type="dxa"/>
            <w:tcBorders>
              <w:top w:val="single" w:color="000000" w:sz="4" w:space="0"/>
              <w:left w:val="single" w:color="000000" w:sz="4" w:space="0"/>
              <w:bottom w:val="single" w:color="000000" w:sz="4" w:space="0"/>
              <w:right w:val="single" w:color="000000" w:sz="4" w:space="0"/>
            </w:tcBorders>
            <w:vAlign w:val="top"/>
          </w:tcPr>
          <w:p w14:paraId="01685F55">
            <w:pPr>
              <w:spacing w:before="226" w:after="0" w:line="240" w:lineRule="auto"/>
              <w:ind w:firstLine="55"/>
              <w:jc w:val="both"/>
              <w:rPr>
                <w:sz w:val="28"/>
              </w:rPr>
            </w:pPr>
            <w:r>
              <w:rPr>
                <w:rFonts w:hint="eastAsia" w:ascii="宋体" w:hAnsi="宋体" w:eastAsia="宋体"/>
                <w:color w:val="000000"/>
                <w:sz w:val="28"/>
              </w:rPr>
              <w:t>违法违纪事件数</w:t>
            </w:r>
          </w:p>
        </w:tc>
      </w:tr>
      <w:tr w14:paraId="3D3548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0"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top"/>
          </w:tcPr>
          <w:p w14:paraId="62C991BF">
            <w:pPr>
              <w:wordWrap w:val="0"/>
              <w:spacing w:before="0" w:after="0" w:line="263" w:lineRule="auto"/>
              <w:ind w:firstLine="0"/>
              <w:jc w:val="both"/>
              <w:rPr>
                <w:rFonts w:hint="eastAsia" w:ascii="宋体" w:hAnsi="宋体" w:eastAsia="宋体"/>
                <w:color w:val="000000"/>
                <w:sz w:val="28"/>
              </w:rPr>
            </w:pPr>
          </w:p>
          <w:p w14:paraId="7D168C4A">
            <w:pPr>
              <w:spacing w:before="0" w:after="0" w:line="215" w:lineRule="auto"/>
              <w:jc w:val="center"/>
              <w:rPr>
                <w:sz w:val="28"/>
              </w:rPr>
            </w:pPr>
            <w:r>
              <w:rPr>
                <w:rFonts w:hint="eastAsia" w:ascii="宋体" w:hAnsi="宋体" w:eastAsia="宋体"/>
                <w:color w:val="000000"/>
                <w:sz w:val="28"/>
              </w:rPr>
              <w:t>中层干部及管理人员</w:t>
            </w:r>
          </w:p>
        </w:tc>
        <w:tc>
          <w:tcPr>
            <w:tcW w:w="1320" w:type="dxa"/>
            <w:vMerge w:val="restart"/>
            <w:tcBorders>
              <w:top w:val="single" w:color="000000" w:sz="4" w:space="0"/>
              <w:left w:val="single" w:color="000000" w:sz="4" w:space="0"/>
              <w:bottom w:val="single" w:color="000000" w:sz="4" w:space="0"/>
              <w:right w:val="single" w:color="000000" w:sz="4" w:space="0"/>
            </w:tcBorders>
            <w:vAlign w:val="top"/>
          </w:tcPr>
          <w:p w14:paraId="258F34AD">
            <w:pPr>
              <w:wordWrap w:val="0"/>
              <w:spacing w:before="0" w:after="0" w:line="263" w:lineRule="auto"/>
              <w:ind w:firstLine="0"/>
              <w:jc w:val="both"/>
              <w:rPr>
                <w:rFonts w:hint="eastAsia" w:ascii="宋体" w:hAnsi="宋体" w:eastAsia="宋体"/>
                <w:color w:val="000000"/>
                <w:sz w:val="28"/>
              </w:rPr>
            </w:pPr>
          </w:p>
          <w:p w14:paraId="3FFB6EE0">
            <w:pPr>
              <w:spacing w:before="127" w:after="0" w:line="240" w:lineRule="auto"/>
              <w:jc w:val="center"/>
              <w:rPr>
                <w:sz w:val="28"/>
              </w:rPr>
            </w:pPr>
            <w:r>
              <w:rPr>
                <w:rFonts w:hint="eastAsia" w:ascii="宋体" w:hAnsi="宋体" w:eastAsia="宋体"/>
                <w:color w:val="000000"/>
                <w:sz w:val="28"/>
              </w:rPr>
              <w:t>管理行为</w:t>
            </w:r>
          </w:p>
          <w:p w14:paraId="70B2B2BB">
            <w:pPr>
              <w:spacing w:before="0" w:after="0" w:line="211" w:lineRule="auto"/>
              <w:ind w:firstLine="122"/>
              <w:jc w:val="both"/>
              <w:rPr>
                <w:sz w:val="28"/>
              </w:rPr>
            </w:pPr>
            <w:r>
              <w:rPr>
                <w:rFonts w:hint="eastAsia" w:ascii="宋体" w:hAnsi="宋体" w:eastAsia="宋体"/>
                <w:color w:val="000000"/>
                <w:sz w:val="28"/>
              </w:rPr>
              <w:t>公正性</w:t>
            </w:r>
          </w:p>
        </w:tc>
        <w:tc>
          <w:tcPr>
            <w:tcW w:w="2240" w:type="dxa"/>
            <w:tcBorders>
              <w:top w:val="single" w:color="000000" w:sz="4" w:space="0"/>
              <w:left w:val="single" w:color="000000" w:sz="4" w:space="0"/>
              <w:bottom w:val="single" w:color="000000" w:sz="4" w:space="0"/>
              <w:right w:val="single" w:color="000000" w:sz="4" w:space="0"/>
            </w:tcBorders>
            <w:vAlign w:val="top"/>
          </w:tcPr>
          <w:p w14:paraId="48CED2F2">
            <w:pPr>
              <w:spacing w:before="206" w:after="0" w:line="240" w:lineRule="auto"/>
              <w:ind w:firstLine="85"/>
              <w:jc w:val="both"/>
              <w:rPr>
                <w:sz w:val="28"/>
              </w:rPr>
            </w:pPr>
            <w:r>
              <w:rPr>
                <w:rFonts w:hint="eastAsia" w:ascii="宋体" w:hAnsi="宋体" w:eastAsia="宋体"/>
                <w:color w:val="000000"/>
                <w:sz w:val="28"/>
              </w:rPr>
              <w:t>行政部</w:t>
            </w:r>
          </w:p>
        </w:tc>
        <w:tc>
          <w:tcPr>
            <w:tcW w:w="2160" w:type="dxa"/>
            <w:tcBorders>
              <w:top w:val="single" w:color="000000" w:sz="4" w:space="0"/>
              <w:left w:val="single" w:color="000000" w:sz="4" w:space="0"/>
              <w:bottom w:val="single" w:color="000000" w:sz="4" w:space="0"/>
              <w:right w:val="single" w:color="000000" w:sz="4" w:space="0"/>
            </w:tcBorders>
            <w:vAlign w:val="top"/>
          </w:tcPr>
          <w:p w14:paraId="3BD13F84">
            <w:pPr>
              <w:spacing w:before="91" w:after="0" w:line="240" w:lineRule="auto"/>
              <w:jc w:val="center"/>
              <w:rPr>
                <w:sz w:val="23"/>
              </w:rPr>
            </w:pPr>
            <w:r>
              <w:rPr>
                <w:rFonts w:hint="eastAsia" w:ascii="宋体" w:hAnsi="宋体" w:eastAsia="宋体"/>
                <w:color w:val="000000"/>
                <w:sz w:val="23"/>
              </w:rPr>
              <w:t>内部审计、干部离任</w:t>
            </w:r>
          </w:p>
          <w:p w14:paraId="00993E0E">
            <w:pPr>
              <w:spacing w:before="0" w:after="0" w:line="211" w:lineRule="auto"/>
              <w:ind w:firstLine="70"/>
              <w:jc w:val="both"/>
              <w:rPr>
                <w:sz w:val="28"/>
              </w:rPr>
            </w:pPr>
            <w:r>
              <w:rPr>
                <w:rFonts w:hint="eastAsia" w:ascii="宋体" w:hAnsi="宋体" w:eastAsia="宋体"/>
                <w:color w:val="000000"/>
                <w:sz w:val="28"/>
              </w:rPr>
              <w:t>审计、监察</w:t>
            </w:r>
          </w:p>
        </w:tc>
        <w:tc>
          <w:tcPr>
            <w:tcW w:w="2100" w:type="dxa"/>
            <w:tcBorders>
              <w:top w:val="single" w:color="000000" w:sz="4" w:space="0"/>
              <w:left w:val="single" w:color="000000" w:sz="4" w:space="0"/>
              <w:bottom w:val="single" w:color="000000" w:sz="4" w:space="0"/>
              <w:right w:val="single" w:color="000000" w:sz="4" w:space="0"/>
            </w:tcBorders>
            <w:vAlign w:val="top"/>
          </w:tcPr>
          <w:p w14:paraId="0B4EE6C3">
            <w:pPr>
              <w:spacing w:before="0" w:after="0" w:line="230" w:lineRule="auto"/>
              <w:ind w:left="75" w:right="20" w:firstLine="20"/>
              <w:jc w:val="both"/>
              <w:rPr>
                <w:sz w:val="28"/>
              </w:rPr>
            </w:pPr>
            <w:r>
              <w:rPr>
                <w:rFonts w:hint="eastAsia" w:ascii="宋体" w:hAnsi="宋体" w:eastAsia="宋体"/>
                <w:color w:val="000000"/>
                <w:sz w:val="28"/>
              </w:rPr>
              <w:t>重大经营活动违规事件数</w:t>
            </w:r>
          </w:p>
        </w:tc>
      </w:tr>
      <w:tr w14:paraId="5565A54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2FBD23A2"/>
        </w:tc>
        <w:tc>
          <w:tcPr>
            <w:tcW w:w="1320" w:type="dxa"/>
            <w:vMerge w:val="continue"/>
            <w:tcBorders>
              <w:top w:val="single" w:color="000000" w:sz="4" w:space="0"/>
              <w:left w:val="single" w:color="000000" w:sz="4" w:space="0"/>
              <w:bottom w:val="single" w:color="000000" w:sz="4" w:space="0"/>
              <w:right w:val="single" w:color="000000" w:sz="4" w:space="0"/>
            </w:tcBorders>
          </w:tcPr>
          <w:p w14:paraId="13CD0809"/>
        </w:tc>
        <w:tc>
          <w:tcPr>
            <w:tcW w:w="2240" w:type="dxa"/>
            <w:tcBorders>
              <w:top w:val="single" w:color="000000" w:sz="4" w:space="0"/>
              <w:left w:val="single" w:color="000000" w:sz="4" w:space="0"/>
              <w:bottom w:val="single" w:color="000000" w:sz="4" w:space="0"/>
              <w:right w:val="single" w:color="000000" w:sz="4" w:space="0"/>
            </w:tcBorders>
            <w:vAlign w:val="top"/>
          </w:tcPr>
          <w:p w14:paraId="6537C842">
            <w:pPr>
              <w:spacing w:before="46" w:after="0" w:line="240" w:lineRule="auto"/>
              <w:ind w:firstLine="85"/>
              <w:jc w:val="both"/>
              <w:rPr>
                <w:sz w:val="28"/>
              </w:rPr>
            </w:pPr>
            <w:r>
              <w:rPr>
                <w:rFonts w:hint="eastAsia" w:ascii="宋体" w:hAnsi="宋体" w:eastAsia="宋体"/>
                <w:color w:val="000000"/>
                <w:sz w:val="28"/>
              </w:rPr>
              <w:t>员工</w:t>
            </w:r>
          </w:p>
        </w:tc>
        <w:tc>
          <w:tcPr>
            <w:tcW w:w="2160" w:type="dxa"/>
            <w:tcBorders>
              <w:top w:val="single" w:color="000000" w:sz="4" w:space="0"/>
              <w:left w:val="single" w:color="000000" w:sz="4" w:space="0"/>
              <w:bottom w:val="single" w:color="000000" w:sz="4" w:space="0"/>
              <w:right w:val="single" w:color="000000" w:sz="4" w:space="0"/>
            </w:tcBorders>
            <w:vAlign w:val="top"/>
          </w:tcPr>
          <w:p w14:paraId="4222B1BC">
            <w:pPr>
              <w:spacing w:before="46" w:after="0" w:line="240" w:lineRule="auto"/>
              <w:jc w:val="center"/>
              <w:rPr>
                <w:sz w:val="28"/>
              </w:rPr>
            </w:pPr>
            <w:r>
              <w:rPr>
                <w:rFonts w:hint="eastAsia" w:ascii="宋体" w:hAnsi="宋体" w:eastAsia="宋体"/>
                <w:color w:val="000000"/>
                <w:sz w:val="28"/>
              </w:rPr>
              <w:t>劳动合同履约</w:t>
            </w:r>
          </w:p>
        </w:tc>
        <w:tc>
          <w:tcPr>
            <w:tcW w:w="2100" w:type="dxa"/>
            <w:tcBorders>
              <w:top w:val="single" w:color="000000" w:sz="4" w:space="0"/>
              <w:left w:val="single" w:color="000000" w:sz="4" w:space="0"/>
              <w:bottom w:val="single" w:color="000000" w:sz="4" w:space="0"/>
              <w:right w:val="single" w:color="000000" w:sz="4" w:space="0"/>
            </w:tcBorders>
            <w:vAlign w:val="top"/>
          </w:tcPr>
          <w:p w14:paraId="0CF87D9D">
            <w:pPr>
              <w:spacing w:before="46" w:after="0" w:line="240" w:lineRule="auto"/>
              <w:ind w:firstLine="55"/>
              <w:jc w:val="both"/>
              <w:rPr>
                <w:sz w:val="28"/>
              </w:rPr>
            </w:pPr>
            <w:r>
              <w:rPr>
                <w:rFonts w:hint="eastAsia" w:ascii="宋体" w:hAnsi="宋体" w:eastAsia="宋体"/>
                <w:color w:val="000000"/>
                <w:sz w:val="28"/>
              </w:rPr>
              <w:t>劳动合同履约率</w:t>
            </w:r>
          </w:p>
        </w:tc>
      </w:tr>
      <w:tr w14:paraId="78F272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140" w:type="dxa"/>
            <w:vMerge w:val="continue"/>
            <w:tcBorders>
              <w:top w:val="single" w:color="000000" w:sz="4" w:space="0"/>
              <w:left w:val="single" w:color="000000" w:sz="4" w:space="0"/>
              <w:bottom w:val="single" w:color="000000" w:sz="4" w:space="0"/>
              <w:right w:val="single" w:color="000000" w:sz="4" w:space="0"/>
            </w:tcBorders>
          </w:tcPr>
          <w:p w14:paraId="1ED27005"/>
        </w:tc>
        <w:tc>
          <w:tcPr>
            <w:tcW w:w="1320" w:type="dxa"/>
            <w:vMerge w:val="continue"/>
            <w:tcBorders>
              <w:top w:val="single" w:color="000000" w:sz="4" w:space="0"/>
              <w:left w:val="single" w:color="000000" w:sz="4" w:space="0"/>
              <w:bottom w:val="single" w:color="000000" w:sz="4" w:space="0"/>
              <w:right w:val="single" w:color="000000" w:sz="4" w:space="0"/>
            </w:tcBorders>
          </w:tcPr>
          <w:p w14:paraId="5D7FBBB8"/>
        </w:tc>
        <w:tc>
          <w:tcPr>
            <w:tcW w:w="2240" w:type="dxa"/>
            <w:tcBorders>
              <w:top w:val="single" w:color="000000" w:sz="4" w:space="0"/>
              <w:left w:val="single" w:color="000000" w:sz="4" w:space="0"/>
              <w:bottom w:val="single" w:color="000000" w:sz="4" w:space="0"/>
              <w:right w:val="single" w:color="000000" w:sz="4" w:space="0"/>
            </w:tcBorders>
            <w:vAlign w:val="top"/>
          </w:tcPr>
          <w:p w14:paraId="337C22DA">
            <w:pPr>
              <w:spacing w:before="46" w:after="0" w:line="240" w:lineRule="auto"/>
              <w:ind w:firstLine="65"/>
              <w:jc w:val="both"/>
              <w:rPr>
                <w:sz w:val="28"/>
              </w:rPr>
            </w:pPr>
            <w:r>
              <w:rPr>
                <w:rFonts w:hint="eastAsia" w:ascii="宋体" w:hAnsi="宋体" w:eastAsia="宋体"/>
                <w:color w:val="000000"/>
                <w:sz w:val="28"/>
              </w:rPr>
              <w:t>顾客和供应商</w:t>
            </w:r>
          </w:p>
        </w:tc>
        <w:tc>
          <w:tcPr>
            <w:tcW w:w="2160" w:type="dxa"/>
            <w:tcBorders>
              <w:top w:val="single" w:color="000000" w:sz="4" w:space="0"/>
              <w:left w:val="single" w:color="000000" w:sz="4" w:space="0"/>
              <w:bottom w:val="single" w:color="000000" w:sz="4" w:space="0"/>
              <w:right w:val="single" w:color="000000" w:sz="4" w:space="0"/>
            </w:tcBorders>
            <w:vAlign w:val="top"/>
          </w:tcPr>
          <w:p w14:paraId="4976243C">
            <w:pPr>
              <w:spacing w:before="26" w:after="0" w:line="240" w:lineRule="auto"/>
              <w:jc w:val="center"/>
              <w:rPr>
                <w:sz w:val="28"/>
              </w:rPr>
            </w:pPr>
            <w:r>
              <w:rPr>
                <w:rFonts w:hint="eastAsia" w:ascii="宋体" w:hAnsi="宋体" w:eastAsia="宋体"/>
                <w:color w:val="000000"/>
                <w:sz w:val="28"/>
              </w:rPr>
              <w:t>合同兑现</w:t>
            </w:r>
          </w:p>
        </w:tc>
        <w:tc>
          <w:tcPr>
            <w:tcW w:w="2100" w:type="dxa"/>
            <w:tcBorders>
              <w:top w:val="single" w:color="000000" w:sz="4" w:space="0"/>
              <w:left w:val="single" w:color="000000" w:sz="4" w:space="0"/>
              <w:bottom w:val="single" w:color="000000" w:sz="4" w:space="0"/>
              <w:right w:val="single" w:color="000000" w:sz="4" w:space="0"/>
            </w:tcBorders>
            <w:vAlign w:val="top"/>
          </w:tcPr>
          <w:p w14:paraId="746C6722">
            <w:pPr>
              <w:spacing w:before="26" w:after="0" w:line="240" w:lineRule="auto"/>
              <w:ind w:firstLine="75"/>
              <w:jc w:val="both"/>
              <w:rPr>
                <w:sz w:val="28"/>
              </w:rPr>
            </w:pPr>
            <w:r>
              <w:rPr>
                <w:rFonts w:hint="eastAsia" w:ascii="宋体" w:hAnsi="宋体" w:eastAsia="宋体"/>
                <w:color w:val="000000"/>
                <w:sz w:val="28"/>
              </w:rPr>
              <w:t>合同兑现率</w:t>
            </w:r>
          </w:p>
        </w:tc>
      </w:tr>
    </w:tbl>
    <w:p w14:paraId="52FFCBD4">
      <w:pPr>
        <w:wordWrap w:val="0"/>
        <w:spacing w:before="0" w:after="0" w:line="369" w:lineRule="auto"/>
        <w:ind w:left="40" w:right="180" w:firstLine="560"/>
        <w:jc w:val="both"/>
        <w:rPr>
          <w:sz w:val="28"/>
        </w:rPr>
      </w:pPr>
      <w:r>
        <w:rPr>
          <w:rFonts w:hint="eastAsia" w:ascii="宋体" w:hAnsi="宋体" w:eastAsia="宋体"/>
          <w:color w:val="000000"/>
          <w:sz w:val="28"/>
        </w:rPr>
        <w:t>在质量安全方面，公司积极履行质量安全职责，严格执行行业标准和法律法规。公司始终坚信优越的性能和可靠的产品质量是产品竞争力的关键。质量形成于产品寿命周期的全过程，包括研究设计、试制、试验、制造、分销、服务和使用全过程。因此，必须对产品寿命周期全过程中影响产品质量的各种因素，始终处于受控状态；必须实行全流程的、全员参加的全面质量管理，使公司有能力持续提供符合质量标准和顾客满意的产品，树立品质超群的企业形象，全心全意地为顾客服务。</w:t>
      </w:r>
    </w:p>
    <w:p w14:paraId="6C60328F">
      <w:pPr>
        <w:wordWrap w:val="0"/>
        <w:spacing w:before="0" w:after="0" w:line="240" w:lineRule="auto"/>
        <w:ind w:firstLine="0"/>
        <w:jc w:val="both"/>
        <w:rPr>
          <w:rFonts w:hint="eastAsia" w:ascii="宋体" w:hAnsi="宋体" w:eastAsia="宋体"/>
          <w:color w:val="000000"/>
          <w:sz w:val="21"/>
        </w:rPr>
      </w:pPr>
    </w:p>
    <w:p w14:paraId="022E2791">
      <w:pPr>
        <w:wordWrap w:val="0"/>
        <w:spacing w:before="0" w:after="0" w:line="369" w:lineRule="auto"/>
        <w:ind w:left="40" w:right="180" w:firstLine="560"/>
        <w:jc w:val="both"/>
        <w:rPr>
          <w:sz w:val="28"/>
        </w:rPr>
      </w:pPr>
      <w:r>
        <w:rPr>
          <w:rFonts w:hint="eastAsia" w:ascii="宋体" w:hAnsi="宋体" w:eastAsia="宋体"/>
          <w:color w:val="000000"/>
          <w:sz w:val="28"/>
        </w:rPr>
        <w:t>在环境保护上，公司从原材料采购到生产过程，全过程进行有害物质的管控。每年根据管理体系运行绩效及年度管理评审会议结果制定不断改进的目标和管理方案，并落实、分解到各责任部门，行政部每季度进行跟踪，实现环境、能源资源、安全管理绩效的不断提高。</w:t>
      </w:r>
    </w:p>
    <w:p w14:paraId="7C284B56">
      <w:pPr>
        <w:wordWrap w:val="0"/>
        <w:spacing w:before="0" w:after="0" w:line="369" w:lineRule="auto"/>
        <w:ind w:left="40" w:right="180" w:firstLine="560"/>
        <w:jc w:val="both"/>
        <w:rPr>
          <w:sz w:val="28"/>
        </w:rPr>
        <w:sectPr>
          <w:headerReference r:id="rId11" w:type="default"/>
          <w:footerReference r:id="rId12" w:type="default"/>
          <w:type w:val="continuous"/>
          <w:pgSz w:w="11900" w:h="16920"/>
          <w:pgMar w:top="720" w:right="1200" w:bottom="1680" w:left="1200" w:header="360" w:footer="840" w:gutter="0"/>
          <w:cols w:space="720" w:num="1"/>
        </w:sectPr>
      </w:pPr>
      <w:r>
        <w:rPr>
          <w:rFonts w:hint="eastAsia" w:ascii="宋体" w:hAnsi="宋体" w:eastAsia="宋体"/>
          <w:color w:val="000000"/>
          <w:sz w:val="28"/>
        </w:rPr>
        <w:t>在安全生产方面，公司一贯遵循“关注安全，预防为主”的工作方针，从培养员工安全意识、开展三级安全教育入手，针对不同岗位的安全特点，采取岗位安全培训、配备劳动保护用品、为全体员工缴纳养老和工伤保险等安全防范措施，确保所有员工掌握岗位需求的安全知识和技能，以保证职工的人身安全。公司每年组织接触职业病危害岗位的员工进行一次免费体检，体检中如发现的疾病，予以提醒、安排就医。</w:t>
      </w:r>
    </w:p>
    <w:p w14:paraId="5F2D1080">
      <w:pPr>
        <w:wordWrap w:val="0"/>
        <w:spacing w:before="0" w:after="0" w:line="323" w:lineRule="auto"/>
        <w:ind w:left="40" w:right="240" w:firstLine="600"/>
        <w:jc w:val="both"/>
        <w:rPr>
          <w:sz w:val="28"/>
        </w:rPr>
      </w:pPr>
      <w:r>
        <w:rPr>
          <w:rFonts w:hint="eastAsia" w:ascii="宋体" w:hAnsi="宋体" w:eastAsia="宋体"/>
          <w:color w:val="000000"/>
          <w:sz w:val="28"/>
        </w:rPr>
        <w:t>成长和发展对员工来说是至关重要的。公司重视人才引进、培养，为员工提供职业生涯规划，组织各类企业培训，以提升员工素质。本着“人尽其才，才尽其用”的基本原则，形成了管理和专业两种职业发展通道，给予员工职业发展方向的选择权，保证公司人力资源优化配置为员工创造良好的晋升渠道，实现员工与企业的共同成长。</w:t>
      </w:r>
      <w:r>
        <w:drawing>
          <wp:anchor distT="0" distB="0" distL="114300" distR="114300" simplePos="0" relativeHeight="251659264" behindDoc="1" locked="0" layoutInCell="1" allowOverlap="1">
            <wp:simplePos x="0" y="0"/>
            <wp:positionH relativeFrom="page">
              <wp:posOffset>7175500</wp:posOffset>
            </wp:positionH>
            <wp:positionV relativeFrom="page">
              <wp:posOffset>7112000</wp:posOffset>
            </wp:positionV>
            <wp:extent cx="317500" cy="1320800"/>
            <wp:effectExtent l="0" t="0" r="2540" b="4445"/>
            <wp:wrapNone/>
            <wp:docPr id="7"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MP"/>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317500" cy="1320800"/>
                    </a:xfrm>
                    <a:prstGeom prst="rect">
                      <a:avLst/>
                    </a:prstGeom>
                  </pic:spPr>
                </pic:pic>
              </a:graphicData>
            </a:graphic>
          </wp:anchor>
        </w:drawing>
      </w:r>
    </w:p>
    <w:p w14:paraId="6FD2EE20">
      <w:pPr>
        <w:wordWrap w:val="0"/>
        <w:spacing w:before="0" w:after="0" w:line="240" w:lineRule="auto"/>
        <w:ind w:firstLine="0"/>
        <w:jc w:val="both"/>
        <w:rPr>
          <w:rFonts w:hint="eastAsia" w:ascii="宋体" w:hAnsi="宋体" w:eastAsia="宋体"/>
          <w:color w:val="000000"/>
          <w:sz w:val="21"/>
        </w:rPr>
      </w:pPr>
    </w:p>
    <w:p w14:paraId="532C2743">
      <w:pPr>
        <w:wordWrap w:val="0"/>
        <w:spacing w:before="0" w:after="0" w:line="240" w:lineRule="auto"/>
        <w:ind w:firstLine="0"/>
        <w:jc w:val="both"/>
        <w:rPr>
          <w:rFonts w:hint="eastAsia" w:ascii="宋体" w:hAnsi="宋体" w:eastAsia="宋体"/>
          <w:color w:val="000000"/>
          <w:sz w:val="21"/>
        </w:rPr>
      </w:pPr>
    </w:p>
    <w:p w14:paraId="3931C524">
      <w:pPr>
        <w:wordWrap w:val="0"/>
        <w:spacing w:before="0" w:after="0" w:line="240" w:lineRule="auto"/>
        <w:ind w:firstLine="0"/>
        <w:jc w:val="both"/>
        <w:rPr>
          <w:rFonts w:hint="eastAsia" w:ascii="宋体" w:hAnsi="宋体" w:eastAsia="宋体"/>
          <w:color w:val="000000"/>
          <w:sz w:val="21"/>
        </w:rPr>
      </w:pPr>
    </w:p>
    <w:p w14:paraId="3FB8A0FB">
      <w:pPr>
        <w:wordWrap w:val="0"/>
        <w:spacing w:before="141" w:after="0" w:line="240" w:lineRule="auto"/>
        <w:ind w:firstLine="640"/>
        <w:jc w:val="both"/>
        <w:rPr>
          <w:sz w:val="28"/>
        </w:rPr>
      </w:pPr>
      <w:r>
        <w:rPr>
          <w:rFonts w:hint="eastAsia" w:ascii="宋体" w:hAnsi="宋体" w:eastAsia="宋体"/>
          <w:b/>
          <w:color w:val="000000"/>
          <w:sz w:val="28"/>
        </w:rPr>
        <w:t>四、关注员工的文化建设和健康</w:t>
      </w:r>
    </w:p>
    <w:p w14:paraId="6FF79B3B">
      <w:pPr>
        <w:wordWrap w:val="0"/>
        <w:spacing w:before="0" w:after="0" w:line="240" w:lineRule="auto"/>
        <w:ind w:firstLine="0"/>
        <w:jc w:val="both"/>
        <w:rPr>
          <w:rFonts w:hint="eastAsia" w:ascii="宋体" w:hAnsi="宋体" w:eastAsia="宋体"/>
          <w:color w:val="000000"/>
          <w:sz w:val="21"/>
        </w:rPr>
      </w:pPr>
    </w:p>
    <w:p w14:paraId="4E841012">
      <w:pPr>
        <w:wordWrap w:val="0"/>
        <w:spacing w:before="0" w:after="0" w:line="323" w:lineRule="auto"/>
        <w:ind w:left="40" w:right="240" w:firstLine="600"/>
        <w:jc w:val="both"/>
        <w:rPr>
          <w:sz w:val="28"/>
        </w:rPr>
      </w:pPr>
      <w:r>
        <w:rPr>
          <w:rFonts w:hint="eastAsia" w:ascii="宋体" w:hAnsi="宋体" w:eastAsia="宋体"/>
          <w:color w:val="000000"/>
          <w:sz w:val="28"/>
        </w:rPr>
        <w:t>公司除了生产上的安全关注，公司也十分重视员工的文化建设和健康。这主要体现在我们努力为员工创造舒适的工作环境和生活环境，如行政部和车间、食堂、运动和休闲、阅读及娱乐等等：</w:t>
      </w:r>
    </w:p>
    <w:p w14:paraId="33EAAAA2">
      <w:pPr>
        <w:wordWrap w:val="0"/>
        <w:spacing w:before="0" w:after="0" w:line="240" w:lineRule="auto"/>
        <w:ind w:firstLine="0"/>
        <w:jc w:val="both"/>
        <w:rPr>
          <w:rFonts w:hint="eastAsia" w:ascii="宋体" w:hAnsi="宋体" w:eastAsia="宋体"/>
          <w:color w:val="000000"/>
          <w:sz w:val="21"/>
        </w:rPr>
      </w:pPr>
    </w:p>
    <w:p w14:paraId="7D284C1D">
      <w:pPr>
        <w:wordWrap w:val="0"/>
        <w:spacing w:before="0" w:after="0" w:line="323" w:lineRule="auto"/>
        <w:ind w:left="40" w:right="240" w:firstLine="600"/>
        <w:jc w:val="both"/>
        <w:rPr>
          <w:sz w:val="28"/>
        </w:rPr>
      </w:pPr>
      <w:r>
        <w:rPr>
          <w:rFonts w:hint="eastAsia" w:ascii="宋体" w:hAnsi="宋体" w:eastAsia="宋体"/>
          <w:color w:val="000000"/>
          <w:sz w:val="28"/>
        </w:rPr>
        <w:t>公司坚持“以人为本”，定期召开员工代表座谈会，及时解决员工关心问题；保障员工薪酬增长：逐步降低一线员工劳动强度，员工奖惩公开透明，遏制不公；对困难员工给予温暖和人性关怀，如发放困难补助，增强员工对公司认同感和归宿感：</w:t>
      </w:r>
    </w:p>
    <w:p w14:paraId="7FD96B4D">
      <w:pPr>
        <w:wordWrap w:val="0"/>
        <w:spacing w:before="0" w:after="0" w:line="240" w:lineRule="auto"/>
        <w:ind w:firstLine="0"/>
        <w:jc w:val="both"/>
        <w:rPr>
          <w:rFonts w:hint="eastAsia" w:ascii="宋体" w:hAnsi="宋体" w:eastAsia="宋体"/>
          <w:color w:val="000000"/>
          <w:sz w:val="21"/>
        </w:rPr>
      </w:pPr>
    </w:p>
    <w:p w14:paraId="5C86B881">
      <w:pPr>
        <w:wordWrap w:val="0"/>
        <w:spacing w:before="0" w:after="0" w:line="240" w:lineRule="auto"/>
        <w:ind w:firstLine="0"/>
        <w:jc w:val="both"/>
        <w:rPr>
          <w:rFonts w:hint="eastAsia" w:ascii="宋体" w:hAnsi="宋体" w:eastAsia="宋体"/>
          <w:color w:val="000000"/>
          <w:sz w:val="21"/>
        </w:rPr>
      </w:pPr>
    </w:p>
    <w:p w14:paraId="686CF9DE">
      <w:pPr>
        <w:wordWrap w:val="0"/>
        <w:spacing w:before="98" w:after="0" w:line="240" w:lineRule="auto"/>
        <w:ind w:firstLine="640"/>
        <w:jc w:val="both"/>
        <w:rPr>
          <w:sz w:val="28"/>
        </w:rPr>
      </w:pPr>
      <w:r>
        <w:rPr>
          <w:rFonts w:hint="eastAsia" w:ascii="宋体" w:hAnsi="宋体" w:eastAsia="宋体"/>
          <w:b/>
          <w:color w:val="000000"/>
          <w:sz w:val="28"/>
        </w:rPr>
        <w:t>五、公司与员工双赢发展</w:t>
      </w:r>
    </w:p>
    <w:p w14:paraId="4DD919E0">
      <w:pPr>
        <w:wordWrap w:val="0"/>
        <w:spacing w:before="0" w:after="0" w:line="240" w:lineRule="auto"/>
        <w:ind w:firstLine="0"/>
        <w:jc w:val="both"/>
        <w:rPr>
          <w:rFonts w:hint="eastAsia" w:ascii="宋体" w:hAnsi="宋体" w:eastAsia="宋体"/>
          <w:color w:val="000000"/>
          <w:sz w:val="21"/>
        </w:rPr>
      </w:pPr>
    </w:p>
    <w:p w14:paraId="6C5F9410">
      <w:pPr>
        <w:wordWrap w:val="0"/>
        <w:spacing w:before="0" w:after="0" w:line="323" w:lineRule="auto"/>
        <w:ind w:left="40" w:right="240" w:firstLine="600"/>
        <w:jc w:val="both"/>
        <w:rPr>
          <w:sz w:val="28"/>
        </w:rPr>
      </w:pPr>
      <w:r>
        <w:rPr>
          <w:rFonts w:hint="eastAsia" w:ascii="宋体" w:hAnsi="宋体" w:eastAsia="宋体"/>
          <w:color w:val="000000"/>
          <w:sz w:val="28"/>
        </w:rPr>
        <w:t>公司注重公司与员工双赢，在公司稳步发展的同时，为员工提供良好的工作环境、适宜的生活条件以及具有竞争性的薪酬福利，公司在日常运作过程中，非常注重员工抱怨状况，出现员工抱怨，及时协调相关部门了解情况并尽快处理，以消除员工的不满意程度，全身心地投入工作过程中，快乐学习，快乐工作，快乐生活。</w:t>
      </w:r>
    </w:p>
    <w:p w14:paraId="7760A741">
      <w:pPr>
        <w:wordWrap w:val="0"/>
        <w:spacing w:before="0" w:after="0" w:line="240" w:lineRule="auto"/>
        <w:ind w:firstLine="0"/>
        <w:jc w:val="both"/>
        <w:rPr>
          <w:rFonts w:hint="eastAsia" w:ascii="宋体" w:hAnsi="宋体" w:eastAsia="宋体"/>
          <w:color w:val="000000"/>
          <w:sz w:val="21"/>
        </w:rPr>
      </w:pPr>
    </w:p>
    <w:p w14:paraId="00FA9A9A">
      <w:pPr>
        <w:wordWrap w:val="0"/>
        <w:spacing w:before="0" w:after="0" w:line="323" w:lineRule="auto"/>
        <w:ind w:left="40" w:right="240" w:firstLine="600"/>
        <w:jc w:val="both"/>
        <w:rPr>
          <w:sz w:val="28"/>
        </w:rPr>
      </w:pPr>
      <w:r>
        <w:rPr>
          <w:rFonts w:hint="eastAsia" w:ascii="宋体" w:hAnsi="宋体" w:eastAsia="宋体"/>
          <w:color w:val="000000"/>
          <w:sz w:val="28"/>
        </w:rPr>
        <w:t>另外，公司每年做一次全体的员工满意度调查，统计分析后形成报告，针对性做改进。该工作逐年持续，取得了良好的成效，员工满意度逐年提升。</w:t>
      </w:r>
    </w:p>
    <w:p w14:paraId="4CF9227B">
      <w:pPr>
        <w:wordWrap w:val="0"/>
        <w:spacing w:before="0" w:after="0" w:line="240" w:lineRule="auto"/>
        <w:ind w:firstLine="0"/>
        <w:jc w:val="both"/>
        <w:rPr>
          <w:rFonts w:hint="eastAsia" w:ascii="宋体" w:hAnsi="宋体" w:eastAsia="宋体"/>
          <w:color w:val="000000"/>
          <w:sz w:val="21"/>
        </w:rPr>
      </w:pPr>
    </w:p>
    <w:p w14:paraId="235CF84E">
      <w:pPr>
        <w:wordWrap w:val="0"/>
        <w:spacing w:before="0" w:after="0" w:line="323" w:lineRule="auto"/>
        <w:ind w:left="40" w:right="240" w:firstLine="600"/>
        <w:jc w:val="both"/>
        <w:rPr>
          <w:sz w:val="28"/>
        </w:rPr>
        <w:sectPr>
          <w:headerReference r:id="rId13" w:type="default"/>
          <w:footerReference r:id="rId14" w:type="default"/>
          <w:type w:val="continuous"/>
          <w:pgSz w:w="11900" w:h="17380"/>
          <w:pgMar w:top="960" w:right="1200" w:bottom="1440" w:left="1200" w:header="480" w:footer="720" w:gutter="0"/>
          <w:cols w:space="720" w:num="1"/>
        </w:sectPr>
      </w:pPr>
      <w:r>
        <w:rPr>
          <w:rFonts w:hint="eastAsia" w:ascii="宋体" w:hAnsi="宋体" w:eastAsia="宋体"/>
          <w:color w:val="000000"/>
          <w:sz w:val="28"/>
        </w:rPr>
        <w:t>锦霖一直将社会公益活动视为企业活动的一个重要组成部门分。高层领导和相关部门对公益支持进行系统策划，根据企业不同发展阶段和战略重点确定投入公益</w:t>
      </w:r>
    </w:p>
    <w:p w14:paraId="192C3833">
      <w:pPr>
        <w:wordWrap w:val="0"/>
        <w:spacing w:before="0" w:after="0" w:line="407" w:lineRule="auto"/>
        <w:ind w:left="60" w:right="80" w:firstLine="0"/>
        <w:jc w:val="both"/>
        <w:rPr>
          <w:sz w:val="26"/>
        </w:rPr>
      </w:pPr>
      <w:r>
        <w:rPr>
          <w:rFonts w:hint="eastAsia" w:ascii="宋体" w:hAnsi="宋体" w:eastAsia="宋体"/>
          <w:color w:val="000000"/>
          <w:sz w:val="26"/>
        </w:rPr>
        <w:t>支持的原则和优先次序，做到既真正有利于社会，又利于企业发展。结合企业的使命、愿景和价值观以及企业发展战略确定了公益支持的原则为“支持社会，文化、教育等事业的发展以及紧迫问题的解决”，确定了重点支持的公益领域为教育，文化、抗震救灾、助残扶贫以及社区支持。</w:t>
      </w:r>
      <w:r>
        <w:drawing>
          <wp:anchor distT="0" distB="0" distL="114300" distR="114300" simplePos="0" relativeHeight="251659264" behindDoc="1" locked="0" layoutInCell="1" allowOverlap="1">
            <wp:simplePos x="0" y="0"/>
            <wp:positionH relativeFrom="page">
              <wp:posOffset>4826000</wp:posOffset>
            </wp:positionH>
            <wp:positionV relativeFrom="page">
              <wp:posOffset>3949700</wp:posOffset>
            </wp:positionV>
            <wp:extent cx="1524000" cy="1498600"/>
            <wp:effectExtent l="0" t="0" r="2540" b="4445"/>
            <wp:wrapNone/>
            <wp:docPr id="8"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MP"/>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524000" cy="1498600"/>
                    </a:xfrm>
                    <a:prstGeom prst="rect">
                      <a:avLst/>
                    </a:prstGeom>
                  </pic:spPr>
                </pic:pic>
              </a:graphicData>
            </a:graphic>
          </wp:anchor>
        </w:drawing>
      </w:r>
    </w:p>
    <w:p w14:paraId="747CB9D6">
      <w:pPr>
        <w:wordWrap w:val="0"/>
        <w:spacing w:before="136" w:after="0" w:line="239" w:lineRule="auto"/>
        <w:jc w:val="center"/>
        <w:rPr>
          <w:sz w:val="26"/>
        </w:rPr>
      </w:pPr>
      <w:r>
        <w:rPr>
          <w:rFonts w:hint="eastAsia" w:ascii="宋体" w:hAnsi="宋体" w:eastAsia="宋体"/>
          <w:color w:val="000000"/>
          <w:sz w:val="26"/>
        </w:rPr>
        <w:t>公益支付</w:t>
      </w:r>
    </w:p>
    <w:p w14:paraId="67FC171E">
      <w:pPr>
        <w:wordWrap w:val="0"/>
        <w:spacing w:before="0" w:after="0" w:line="92" w:lineRule="auto"/>
        <w:ind w:firstLine="0"/>
        <w:jc w:val="both"/>
        <w:rPr>
          <w:rFonts w:hint="eastAsia" w:ascii="宋体" w:hAnsi="宋体" w:eastAsia="宋体"/>
          <w:color w:val="000000"/>
          <w:sz w:val="12"/>
        </w:rPr>
      </w:pPr>
    </w:p>
    <w:tbl>
      <w:tblPr>
        <w:tblStyle w:val="2"/>
        <w:tblW w:w="0" w:type="auto"/>
        <w:tblInd w:w="1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80"/>
        <w:gridCol w:w="1960"/>
        <w:gridCol w:w="2100"/>
        <w:gridCol w:w="4600"/>
      </w:tblGrid>
      <w:tr w14:paraId="4D2968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63927349">
            <w:pPr>
              <w:spacing w:before="0" w:after="0" w:line="201" w:lineRule="auto"/>
              <w:jc w:val="center"/>
              <w:rPr>
                <w:sz w:val="26"/>
              </w:rPr>
            </w:pPr>
            <w:r>
              <w:rPr>
                <w:rFonts w:hint="eastAsia" w:ascii="宋体" w:hAnsi="宋体" w:eastAsia="宋体"/>
                <w:color w:val="000000"/>
                <w:sz w:val="26"/>
              </w:rPr>
              <w:t>序号</w:t>
            </w:r>
          </w:p>
        </w:tc>
        <w:tc>
          <w:tcPr>
            <w:tcW w:w="1960" w:type="dxa"/>
            <w:tcBorders>
              <w:top w:val="single" w:color="000000" w:sz="4" w:space="0"/>
              <w:bottom w:val="single" w:color="000000" w:sz="4" w:space="0"/>
            </w:tcBorders>
            <w:vAlign w:val="top"/>
          </w:tcPr>
          <w:p w14:paraId="25251E26">
            <w:pPr>
              <w:spacing w:before="0" w:after="0" w:line="201" w:lineRule="auto"/>
              <w:jc w:val="center"/>
              <w:rPr>
                <w:sz w:val="26"/>
              </w:rPr>
            </w:pPr>
            <w:r>
              <w:rPr>
                <w:rFonts w:hint="eastAsia" w:ascii="宋体" w:hAnsi="宋体" w:eastAsia="宋体"/>
                <w:color w:val="000000"/>
                <w:sz w:val="26"/>
              </w:rPr>
              <w:t>支付单点</w:t>
            </w:r>
          </w:p>
        </w:tc>
        <w:tc>
          <w:tcPr>
            <w:tcW w:w="2100" w:type="dxa"/>
            <w:tcBorders>
              <w:top w:val="single" w:color="000000" w:sz="4" w:space="0"/>
              <w:bottom w:val="single" w:color="000000" w:sz="4" w:space="0"/>
            </w:tcBorders>
            <w:vAlign w:val="top"/>
          </w:tcPr>
          <w:p w14:paraId="03638D7C">
            <w:pPr>
              <w:spacing w:before="0" w:after="0" w:line="201" w:lineRule="auto"/>
              <w:ind w:firstLine="720"/>
              <w:jc w:val="both"/>
              <w:rPr>
                <w:sz w:val="26"/>
              </w:rPr>
            </w:pPr>
            <w:r>
              <w:rPr>
                <w:rFonts w:hint="eastAsia" w:ascii="宋体" w:hAnsi="宋体" w:eastAsia="宋体"/>
                <w:color w:val="000000"/>
                <w:sz w:val="26"/>
              </w:rPr>
              <w:t>共体内存</w:t>
            </w:r>
          </w:p>
        </w:tc>
        <w:tc>
          <w:tcPr>
            <w:tcW w:w="4600" w:type="dxa"/>
            <w:tcBorders>
              <w:top w:val="single" w:color="000000" w:sz="4" w:space="0"/>
              <w:left w:val="single" w:color="000000" w:sz="4" w:space="0"/>
              <w:bottom w:val="single" w:color="000000" w:sz="4" w:space="0"/>
              <w:right w:val="single" w:color="000000" w:sz="4" w:space="0"/>
            </w:tcBorders>
            <w:vAlign w:val="top"/>
          </w:tcPr>
          <w:p w14:paraId="7862A102">
            <w:pPr>
              <w:spacing w:before="0" w:after="0" w:line="201" w:lineRule="auto"/>
              <w:ind w:firstLine="1940"/>
              <w:jc w:val="both"/>
              <w:rPr>
                <w:sz w:val="26"/>
              </w:rPr>
            </w:pPr>
            <w:r>
              <w:rPr>
                <w:rFonts w:hint="eastAsia" w:ascii="宋体" w:hAnsi="宋体" w:eastAsia="宋体"/>
                <w:color w:val="000000"/>
                <w:sz w:val="26"/>
              </w:rPr>
              <w:t>支付方式</w:t>
            </w:r>
          </w:p>
        </w:tc>
      </w:tr>
      <w:tr w14:paraId="5056C7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09CAFB81">
            <w:pPr>
              <w:spacing w:before="0" w:after="0" w:line="211" w:lineRule="auto"/>
              <w:jc w:val="center"/>
              <w:rPr>
                <w:sz w:val="26"/>
              </w:rPr>
            </w:pPr>
            <w:r>
              <w:rPr>
                <w:rFonts w:hint="eastAsia" w:ascii="Calibri" w:hAnsi="Calibri" w:eastAsia="Calibri"/>
                <w:color w:val="000000"/>
                <w:sz w:val="26"/>
              </w:rPr>
              <w:t>1</w:t>
            </w:r>
          </w:p>
        </w:tc>
        <w:tc>
          <w:tcPr>
            <w:tcW w:w="1960" w:type="dxa"/>
            <w:tcBorders>
              <w:top w:val="single" w:color="000000" w:sz="4" w:space="0"/>
              <w:left w:val="single" w:color="000000" w:sz="4" w:space="0"/>
              <w:bottom w:val="single" w:color="000000" w:sz="4" w:space="0"/>
              <w:right w:val="single" w:color="000000" w:sz="4" w:space="0"/>
            </w:tcBorders>
            <w:vAlign w:val="top"/>
          </w:tcPr>
          <w:p w14:paraId="411CAC64">
            <w:pPr>
              <w:spacing w:before="11" w:after="0" w:line="240" w:lineRule="auto"/>
              <w:jc w:val="center"/>
              <w:rPr>
                <w:sz w:val="21"/>
              </w:rPr>
            </w:pPr>
            <w:r>
              <w:rPr>
                <w:rFonts w:hint="eastAsia" w:ascii="宋体" w:hAnsi="宋体" w:eastAsia="宋体"/>
                <w:color w:val="000000"/>
                <w:sz w:val="21"/>
              </w:rPr>
              <w:t>当地经济和行业发展</w:t>
            </w:r>
          </w:p>
        </w:tc>
        <w:tc>
          <w:tcPr>
            <w:tcW w:w="2100" w:type="dxa"/>
            <w:tcBorders>
              <w:top w:val="single" w:color="000000" w:sz="4" w:space="0"/>
              <w:left w:val="single" w:color="000000" w:sz="4" w:space="0"/>
              <w:bottom w:val="single" w:color="000000" w:sz="4" w:space="0"/>
              <w:right w:val="single" w:color="000000" w:sz="4" w:space="0"/>
            </w:tcBorders>
            <w:vAlign w:val="top"/>
          </w:tcPr>
          <w:p w14:paraId="1586B742">
            <w:pPr>
              <w:spacing w:before="11" w:after="0" w:line="240" w:lineRule="auto"/>
              <w:ind w:firstLine="160"/>
              <w:jc w:val="both"/>
              <w:rPr>
                <w:sz w:val="21"/>
              </w:rPr>
            </w:pPr>
            <w:r>
              <w:rPr>
                <w:rFonts w:hint="eastAsia" w:ascii="宋体" w:hAnsi="宋体" w:eastAsia="宋体"/>
                <w:color w:val="000000"/>
                <w:sz w:val="21"/>
              </w:rPr>
              <w:t>餐进当地税收和营业</w:t>
            </w:r>
          </w:p>
        </w:tc>
        <w:tc>
          <w:tcPr>
            <w:tcW w:w="4600" w:type="dxa"/>
            <w:tcBorders>
              <w:top w:val="single" w:color="000000" w:sz="4" w:space="0"/>
              <w:left w:val="single" w:color="000000" w:sz="4" w:space="0"/>
              <w:bottom w:val="single" w:color="000000" w:sz="4" w:space="0"/>
              <w:right w:val="single" w:color="000000" w:sz="4" w:space="0"/>
            </w:tcBorders>
            <w:vAlign w:val="top"/>
          </w:tcPr>
          <w:p w14:paraId="08F72398">
            <w:pPr>
              <w:spacing w:before="0" w:after="0" w:line="201" w:lineRule="auto"/>
              <w:ind w:firstLine="140"/>
              <w:jc w:val="both"/>
              <w:rPr>
                <w:sz w:val="26"/>
              </w:rPr>
            </w:pPr>
            <w:r>
              <w:rPr>
                <w:rFonts w:hint="eastAsia" w:ascii="宋体" w:hAnsi="宋体" w:eastAsia="宋体"/>
                <w:color w:val="000000"/>
                <w:sz w:val="26"/>
              </w:rPr>
              <w:t>提供就业机会</w:t>
            </w:r>
          </w:p>
        </w:tc>
      </w:tr>
      <w:tr w14:paraId="3338E4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2BD34DC2">
            <w:pPr>
              <w:spacing w:before="6" w:after="0" w:line="239" w:lineRule="auto"/>
              <w:jc w:val="center"/>
              <w:rPr>
                <w:sz w:val="26"/>
              </w:rPr>
            </w:pPr>
            <w:r>
              <w:rPr>
                <w:rFonts w:hint="eastAsia" w:ascii="Calibri" w:hAnsi="Calibri" w:eastAsia="Calibri"/>
                <w:color w:val="000000"/>
                <w:sz w:val="26"/>
              </w:rPr>
              <w:t>2</w:t>
            </w:r>
          </w:p>
        </w:tc>
        <w:tc>
          <w:tcPr>
            <w:tcW w:w="1960" w:type="dxa"/>
            <w:tcBorders>
              <w:top w:val="single" w:color="000000" w:sz="4" w:space="0"/>
              <w:left w:val="single" w:color="000000" w:sz="4" w:space="0"/>
              <w:bottom w:val="single" w:color="000000" w:sz="4" w:space="0"/>
              <w:right w:val="single" w:color="000000" w:sz="4" w:space="0"/>
            </w:tcBorders>
            <w:vAlign w:val="top"/>
          </w:tcPr>
          <w:p w14:paraId="12FA4A38">
            <w:pPr>
              <w:spacing w:before="0" w:after="0" w:line="235" w:lineRule="auto"/>
              <w:jc w:val="center"/>
              <w:rPr>
                <w:sz w:val="26"/>
              </w:rPr>
            </w:pPr>
            <w:r>
              <w:rPr>
                <w:rFonts w:hint="eastAsia" w:ascii="宋体" w:hAnsi="宋体" w:eastAsia="宋体"/>
                <w:color w:val="000000"/>
                <w:sz w:val="26"/>
              </w:rPr>
              <w:t>社会安心互助</w:t>
            </w:r>
          </w:p>
        </w:tc>
        <w:tc>
          <w:tcPr>
            <w:tcW w:w="2100" w:type="dxa"/>
            <w:tcBorders>
              <w:top w:val="single" w:color="000000" w:sz="4" w:space="0"/>
              <w:left w:val="single" w:color="000000" w:sz="4" w:space="0"/>
              <w:bottom w:val="single" w:color="000000" w:sz="4" w:space="0"/>
              <w:right w:val="single" w:color="000000" w:sz="4" w:space="0"/>
            </w:tcBorders>
            <w:vAlign w:val="top"/>
          </w:tcPr>
          <w:p w14:paraId="32295847">
            <w:pPr>
              <w:spacing w:before="0" w:after="0" w:line="235" w:lineRule="auto"/>
              <w:ind w:firstLine="160"/>
              <w:jc w:val="both"/>
              <w:rPr>
                <w:sz w:val="26"/>
              </w:rPr>
            </w:pPr>
            <w:r>
              <w:rPr>
                <w:rFonts w:hint="eastAsia" w:ascii="宋体" w:hAnsi="宋体" w:eastAsia="宋体"/>
                <w:color w:val="000000"/>
                <w:sz w:val="26"/>
              </w:rPr>
              <w:t>给福利院送温暖</w:t>
            </w:r>
          </w:p>
        </w:tc>
        <w:tc>
          <w:tcPr>
            <w:tcW w:w="4600" w:type="dxa"/>
            <w:tcBorders>
              <w:top w:val="single" w:color="000000" w:sz="4" w:space="0"/>
              <w:left w:val="single" w:color="000000" w:sz="4" w:space="0"/>
              <w:bottom w:val="single" w:color="000000" w:sz="4" w:space="0"/>
              <w:right w:val="single" w:color="000000" w:sz="4" w:space="0"/>
            </w:tcBorders>
            <w:vAlign w:val="top"/>
          </w:tcPr>
          <w:p w14:paraId="4CFE46DA">
            <w:pPr>
              <w:spacing w:before="0" w:after="0" w:line="211" w:lineRule="auto"/>
              <w:ind w:firstLine="140"/>
              <w:jc w:val="both"/>
              <w:rPr>
                <w:sz w:val="26"/>
              </w:rPr>
            </w:pPr>
            <w:r>
              <w:rPr>
                <w:rFonts w:hint="eastAsia" w:ascii="宋体" w:hAnsi="宋体" w:eastAsia="宋体"/>
                <w:color w:val="000000"/>
                <w:sz w:val="26"/>
              </w:rPr>
              <w:t>捐赠生活物资</w:t>
            </w:r>
          </w:p>
        </w:tc>
      </w:tr>
      <w:tr w14:paraId="7F8650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7BE7F4A8">
            <w:pPr>
              <w:spacing w:before="0" w:after="0" w:line="215" w:lineRule="auto"/>
              <w:jc w:val="center"/>
              <w:rPr>
                <w:sz w:val="26"/>
              </w:rPr>
            </w:pPr>
            <w:r>
              <w:rPr>
                <w:rFonts w:hint="eastAsia" w:ascii="Calibri" w:hAnsi="Calibri" w:eastAsia="Calibri"/>
                <w:color w:val="000000"/>
                <w:sz w:val="26"/>
              </w:rPr>
              <w:t>3</w:t>
            </w:r>
          </w:p>
        </w:tc>
        <w:tc>
          <w:tcPr>
            <w:tcW w:w="1960" w:type="dxa"/>
            <w:tcBorders>
              <w:top w:val="single" w:color="000000" w:sz="4" w:space="0"/>
              <w:left w:val="single" w:color="000000" w:sz="4" w:space="0"/>
              <w:bottom w:val="single" w:color="000000" w:sz="4" w:space="0"/>
              <w:right w:val="single" w:color="000000" w:sz="4" w:space="0"/>
            </w:tcBorders>
            <w:vAlign w:val="top"/>
          </w:tcPr>
          <w:p w14:paraId="62A56452">
            <w:pPr>
              <w:spacing w:before="0" w:after="0" w:line="201" w:lineRule="auto"/>
              <w:jc w:val="center"/>
              <w:rPr>
                <w:sz w:val="26"/>
              </w:rPr>
            </w:pPr>
            <w:r>
              <w:rPr>
                <w:rFonts w:hint="eastAsia" w:ascii="宋体" w:hAnsi="宋体" w:eastAsia="宋体"/>
                <w:color w:val="000000"/>
                <w:sz w:val="26"/>
              </w:rPr>
              <w:t>社会公益五助</w:t>
            </w:r>
          </w:p>
        </w:tc>
        <w:tc>
          <w:tcPr>
            <w:tcW w:w="2100" w:type="dxa"/>
            <w:tcBorders>
              <w:top w:val="single" w:color="000000" w:sz="4" w:space="0"/>
              <w:left w:val="single" w:color="000000" w:sz="4" w:space="0"/>
              <w:bottom w:val="single" w:color="000000" w:sz="4" w:space="0"/>
              <w:right w:val="single" w:color="000000" w:sz="4" w:space="0"/>
            </w:tcBorders>
            <w:vAlign w:val="top"/>
          </w:tcPr>
          <w:p w14:paraId="7803D7AE">
            <w:pPr>
              <w:spacing w:before="0" w:after="0" w:line="201" w:lineRule="auto"/>
              <w:ind w:firstLine="160"/>
              <w:jc w:val="both"/>
              <w:rPr>
                <w:sz w:val="26"/>
              </w:rPr>
            </w:pPr>
            <w:r>
              <w:rPr>
                <w:rFonts w:hint="eastAsia" w:ascii="宋体" w:hAnsi="宋体" w:eastAsia="宋体"/>
                <w:color w:val="000000"/>
                <w:sz w:val="26"/>
              </w:rPr>
              <w:t>绿化带除余单</w:t>
            </w:r>
          </w:p>
        </w:tc>
        <w:tc>
          <w:tcPr>
            <w:tcW w:w="4600" w:type="dxa"/>
            <w:tcBorders>
              <w:top w:val="single" w:color="000000" w:sz="4" w:space="0"/>
              <w:left w:val="single" w:color="000000" w:sz="4" w:space="0"/>
              <w:bottom w:val="single" w:color="000000" w:sz="4" w:space="0"/>
              <w:right w:val="single" w:color="000000" w:sz="4" w:space="0"/>
            </w:tcBorders>
            <w:vAlign w:val="top"/>
          </w:tcPr>
          <w:p w14:paraId="61BB08BE">
            <w:pPr>
              <w:spacing w:before="0" w:after="0" w:line="187" w:lineRule="auto"/>
              <w:ind w:firstLine="140"/>
              <w:jc w:val="both"/>
              <w:rPr>
                <w:sz w:val="26"/>
              </w:rPr>
            </w:pPr>
            <w:r>
              <w:rPr>
                <w:rFonts w:hint="eastAsia" w:ascii="宋体" w:hAnsi="宋体" w:eastAsia="宋体"/>
                <w:color w:val="000000"/>
                <w:sz w:val="26"/>
              </w:rPr>
              <w:t>参加社区公益活动</w:t>
            </w:r>
          </w:p>
        </w:tc>
      </w:tr>
      <w:tr w14:paraId="2F5CDE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680" w:type="dxa"/>
            <w:tcBorders>
              <w:top w:val="single" w:color="000000" w:sz="4" w:space="0"/>
              <w:left w:val="single" w:color="000000" w:sz="4" w:space="0"/>
              <w:bottom w:val="single" w:color="000000" w:sz="4" w:space="0"/>
              <w:right w:val="single" w:color="000000" w:sz="4" w:space="0"/>
            </w:tcBorders>
            <w:vAlign w:val="top"/>
          </w:tcPr>
          <w:p w14:paraId="55AD2A01">
            <w:pPr>
              <w:spacing w:before="164" w:after="0" w:line="239" w:lineRule="auto"/>
              <w:jc w:val="center"/>
              <w:rPr>
                <w:sz w:val="26"/>
              </w:rPr>
            </w:pPr>
            <w:r>
              <w:rPr>
                <w:rFonts w:hint="eastAsia" w:ascii="Calibri" w:hAnsi="Calibri" w:eastAsia="Calibri"/>
                <w:color w:val="000000"/>
                <w:sz w:val="26"/>
              </w:rPr>
              <w:t>4</w:t>
            </w:r>
          </w:p>
        </w:tc>
        <w:tc>
          <w:tcPr>
            <w:tcW w:w="1960" w:type="dxa"/>
            <w:tcBorders>
              <w:top w:val="single" w:color="000000" w:sz="4" w:space="0"/>
              <w:left w:val="single" w:color="000000" w:sz="4" w:space="0"/>
              <w:bottom w:val="single" w:color="000000" w:sz="4" w:space="0"/>
              <w:right w:val="single" w:color="000000" w:sz="4" w:space="0"/>
            </w:tcBorders>
            <w:vAlign w:val="top"/>
          </w:tcPr>
          <w:p w14:paraId="5B77F972">
            <w:pPr>
              <w:spacing w:before="125" w:after="0" w:line="239" w:lineRule="auto"/>
              <w:jc w:val="center"/>
              <w:rPr>
                <w:sz w:val="26"/>
              </w:rPr>
            </w:pPr>
            <w:r>
              <w:rPr>
                <w:rFonts w:hint="eastAsia" w:ascii="宋体" w:hAnsi="宋体" w:eastAsia="宋体"/>
                <w:color w:val="000000"/>
                <w:sz w:val="26"/>
              </w:rPr>
              <w:t>员工爱心互助</w:t>
            </w:r>
          </w:p>
        </w:tc>
        <w:tc>
          <w:tcPr>
            <w:tcW w:w="2100" w:type="dxa"/>
            <w:tcBorders>
              <w:top w:val="single" w:color="000000" w:sz="4" w:space="0"/>
              <w:left w:val="single" w:color="000000" w:sz="4" w:space="0"/>
              <w:bottom w:val="single" w:color="000000" w:sz="4" w:space="0"/>
              <w:right w:val="single" w:color="000000" w:sz="4" w:space="0"/>
            </w:tcBorders>
            <w:vAlign w:val="top"/>
          </w:tcPr>
          <w:p w14:paraId="5849F15A">
            <w:pPr>
              <w:spacing w:before="124" w:after="0" w:line="240" w:lineRule="auto"/>
              <w:ind w:firstLine="160"/>
              <w:jc w:val="both"/>
              <w:rPr>
                <w:sz w:val="23"/>
              </w:rPr>
            </w:pPr>
            <w:r>
              <w:rPr>
                <w:rFonts w:hint="eastAsia" w:ascii="宋体" w:hAnsi="宋体" w:eastAsia="宋体"/>
                <w:color w:val="000000"/>
                <w:sz w:val="23"/>
              </w:rPr>
              <w:t>共建爱心互助基金</w:t>
            </w:r>
          </w:p>
        </w:tc>
        <w:tc>
          <w:tcPr>
            <w:tcW w:w="4600" w:type="dxa"/>
            <w:tcBorders>
              <w:top w:val="single" w:color="000000" w:sz="4" w:space="0"/>
              <w:left w:val="single" w:color="000000" w:sz="4" w:space="0"/>
              <w:bottom w:val="single" w:color="000000" w:sz="4" w:space="0"/>
              <w:right w:val="single" w:color="000000" w:sz="4" w:space="0"/>
            </w:tcBorders>
            <w:vAlign w:val="top"/>
          </w:tcPr>
          <w:p w14:paraId="3A70172D">
            <w:pPr>
              <w:spacing w:before="0" w:after="0" w:line="206" w:lineRule="auto"/>
              <w:ind w:left="120" w:right="160" w:firstLine="40"/>
              <w:jc w:val="both"/>
              <w:rPr>
                <w:sz w:val="26"/>
              </w:rPr>
            </w:pPr>
            <w:r>
              <w:rPr>
                <w:rFonts w:hint="eastAsia" w:ascii="宋体" w:hAnsi="宋体" w:eastAsia="宋体"/>
                <w:color w:val="000000"/>
                <w:sz w:val="26"/>
              </w:rPr>
              <w:t>为员工生育、千女教育、亲属思码等需要资助的情况提供爱心帮助</w:t>
            </w:r>
          </w:p>
        </w:tc>
      </w:tr>
    </w:tbl>
    <w:p w14:paraId="2CDF076E">
      <w:pPr>
        <w:wordWrap w:val="0"/>
        <w:spacing w:before="0" w:after="0" w:line="407" w:lineRule="auto"/>
        <w:ind w:left="60" w:right="80" w:firstLine="620"/>
        <w:jc w:val="both"/>
        <w:rPr>
          <w:sz w:val="26"/>
        </w:rPr>
      </w:pPr>
      <w:r>
        <w:rPr>
          <w:rFonts w:hint="eastAsia" w:ascii="宋体" w:hAnsi="宋体" w:eastAsia="宋体"/>
          <w:color w:val="000000"/>
          <w:sz w:val="26"/>
        </w:rPr>
        <w:t>而言之，社会责任是锦霖应尽的责任，是回报社会的最好方法，我们将自始至终努力实现。</w:t>
      </w:r>
    </w:p>
    <w:p w14:paraId="7CEAA452">
      <w:pPr>
        <w:wordWrap w:val="0"/>
        <w:spacing w:before="229" w:after="0" w:line="239" w:lineRule="auto"/>
        <w:ind w:firstLine="5740"/>
        <w:jc w:val="right"/>
        <w:rPr>
          <w:sz w:val="26"/>
        </w:rPr>
      </w:pPr>
      <w:r>
        <w:rPr>
          <w:rFonts w:hint="eastAsia" w:ascii="宋体" w:hAnsi="宋体" w:eastAsia="宋体"/>
          <w:b/>
          <w:color w:val="000000"/>
          <w:sz w:val="26"/>
        </w:rPr>
        <w:t>浙江锦霖运动科技有限公司</w:t>
      </w:r>
    </w:p>
    <w:p w14:paraId="30C1985A">
      <w:pPr>
        <w:wordWrap w:val="0"/>
        <w:spacing w:before="162" w:after="0" w:line="239" w:lineRule="auto"/>
        <w:ind w:firstLine="6360"/>
        <w:jc w:val="both"/>
        <w:rPr>
          <w:sz w:val="26"/>
        </w:rPr>
      </w:pPr>
      <w:r>
        <w:rPr>
          <w:rFonts w:hint="eastAsia" w:ascii="Calibri" w:hAnsi="Calibri" w:eastAsia="Calibri"/>
          <w:b/>
          <w:color w:val="000000"/>
          <w:sz w:val="26"/>
        </w:rPr>
        <w:t>2025</w:t>
      </w:r>
      <w:r>
        <w:rPr>
          <w:rFonts w:hint="eastAsia" w:ascii="宋体" w:hAnsi="宋体" w:eastAsia="宋体"/>
          <w:b/>
          <w:color w:val="000000"/>
          <w:sz w:val="26"/>
        </w:rPr>
        <w:t>年</w:t>
      </w:r>
      <w:r>
        <w:rPr>
          <w:rFonts w:hint="eastAsia" w:ascii="Calibri" w:hAnsi="Calibri" w:eastAsia="Calibri"/>
          <w:b/>
          <w:color w:val="000000"/>
          <w:sz w:val="26"/>
        </w:rPr>
        <w:t>5</w:t>
      </w:r>
      <w:r>
        <w:rPr>
          <w:rFonts w:hint="eastAsia" w:ascii="宋体" w:hAnsi="宋体" w:eastAsia="宋体"/>
          <w:b/>
          <w:color w:val="000000"/>
          <w:sz w:val="26"/>
        </w:rPr>
        <w:t>月</w:t>
      </w:r>
      <w:r>
        <w:rPr>
          <w:rFonts w:hint="eastAsia" w:ascii="Calibri" w:hAnsi="Calibri" w:eastAsia="Calibri"/>
          <w:b/>
          <w:color w:val="000000"/>
          <w:sz w:val="26"/>
        </w:rPr>
        <w:t>10</w:t>
      </w:r>
      <w:r>
        <w:rPr>
          <w:rFonts w:hint="eastAsia" w:ascii="宋体" w:hAnsi="宋体" w:eastAsia="宋体"/>
          <w:b/>
          <w:color w:val="000000"/>
          <w:sz w:val="26"/>
        </w:rPr>
        <w:t>日</w:t>
      </w:r>
    </w:p>
    <w:sectPr>
      <w:headerReference r:id="rId15" w:type="default"/>
      <w:footerReference r:id="rId16" w:type="default"/>
      <w:type w:val="continuous"/>
      <w:pgSz w:w="11900" w:h="16580"/>
      <w:pgMar w:top="720" w:right="1200" w:bottom="2880" w:left="1200" w:header="3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BE33">
    <w:pPr>
      <w:spacing w:line="158" w:lineRule="auto"/>
      <w:jc w:val="center"/>
    </w:pPr>
    <w:r>
      <w:rPr>
        <w:rFonts w:hint="eastAsia" w:ascii="Calibri" w:hAnsi="Calibri" w:eastAsia="Calibri"/>
        <w:color w:val="000000"/>
        <w:sz w:val="2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75FE">
    <w:pPr>
      <w:spacing w:line="158" w:lineRule="auto"/>
      <w:jc w:val="center"/>
    </w:pPr>
    <w:r>
      <w:rPr>
        <w:rFonts w:hint="eastAsia" w:ascii="Calibri" w:hAnsi="Calibri" w:eastAsia="Calibri"/>
        <w:color w:val="000000"/>
        <w:sz w:val="2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4270">
    <w:pPr>
      <w:spacing w:line="167" w:lineRule="auto"/>
      <w:jc w:val="center"/>
    </w:pPr>
    <w:r>
      <w:rPr>
        <w:rFonts w:hint="eastAsia" w:ascii="Calibri" w:hAnsi="Calibri" w:eastAsia="Calibri"/>
        <w:color w:val="000000"/>
        <w:sz w:val="23"/>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2603">
    <w:pPr>
      <w:spacing w:line="153" w:lineRule="auto"/>
      <w:jc w:val="center"/>
    </w:pPr>
    <w:r>
      <w:rPr>
        <w:rFonts w:hint="eastAsia" w:ascii="Calibri" w:hAnsi="Calibri" w:eastAsia="Calibri"/>
        <w:color w:val="000000"/>
        <w:sz w:val="2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5352">
    <w:pPr>
      <w:spacing w:line="167" w:lineRule="auto"/>
      <w:jc w:val="center"/>
    </w:pPr>
    <w:r>
      <w:rPr>
        <w:rFonts w:hint="eastAsia" w:ascii="Calibri" w:hAnsi="Calibri" w:eastAsia="Calibri"/>
        <w:color w:val="000000"/>
        <w:sz w:val="23"/>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94F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13BC">
    <w:pPr>
      <w:spacing w:line="211" w:lineRule="auto"/>
      <w:jc w:val="center"/>
    </w:pPr>
    <w:r>
      <w:rPr>
        <w:rFonts w:hint="eastAsia" w:ascii="Calibri" w:hAnsi="Calibri" w:eastAsia="Calibri"/>
        <w:color w:val="000000"/>
        <w:sz w:val="20"/>
      </w:rPr>
      <w:t>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E9AA">
    <w:pPr>
      <w:spacing w:line="191" w:lineRule="auto"/>
      <w:ind w:firstLine="20"/>
      <w:jc w:val="right"/>
    </w:pPr>
    <w:r>
      <w:rPr>
        <w:rFonts w:hint="eastAsia" w:ascii="Calibri" w:hAnsi="Calibri" w:eastAsia="Calibri"/>
        <w:color w:val="000000"/>
        <w:sz w:val="21"/>
      </w:rPr>
      <w:t>2024</w:t>
    </w:r>
    <w:r>
      <w:rPr>
        <w:rFonts w:hint="eastAsia" w:ascii="宋体" w:hAnsi="宋体" w:eastAsia="宋体"/>
        <w:color w:val="000000"/>
        <w:sz w:val="21"/>
      </w:rPr>
      <w:t>年社会责任报告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9679">
    <w:pPr>
      <w:spacing w:line="211" w:lineRule="auto"/>
      <w:ind w:firstLine="40"/>
      <w:jc w:val="right"/>
    </w:pPr>
    <w:r>
      <w:rPr>
        <w:rFonts w:hint="eastAsia" w:ascii="Calibri" w:hAnsi="Calibri" w:eastAsia="Calibri"/>
        <w:color w:val="000000"/>
        <w:sz w:val="21"/>
      </w:rPr>
      <w:t>2024</w:t>
    </w:r>
    <w:r>
      <w:rPr>
        <w:rFonts w:hint="eastAsia" w:ascii="宋体" w:hAnsi="宋体" w:eastAsia="宋体"/>
        <w:color w:val="000000"/>
        <w:sz w:val="21"/>
      </w:rPr>
      <w:t>年社会责任报告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851F">
    <w:pPr>
      <w:spacing w:line="191" w:lineRule="auto"/>
      <w:ind w:firstLine="20"/>
      <w:jc w:val="right"/>
    </w:pPr>
    <w:r>
      <w:rPr>
        <w:rFonts w:hint="eastAsia" w:ascii="Calibri" w:hAnsi="Calibri" w:eastAsia="Calibri"/>
        <w:color w:val="000000"/>
        <w:sz w:val="21"/>
      </w:rPr>
      <w:t>2024</w:t>
    </w:r>
    <w:r>
      <w:rPr>
        <w:rFonts w:hint="eastAsia" w:ascii="宋体" w:hAnsi="宋体" w:eastAsia="宋体"/>
        <w:color w:val="000000"/>
        <w:sz w:val="21"/>
      </w:rPr>
      <w:t>年社会责任报告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1B5C">
    <w:pPr>
      <w:spacing w:line="172" w:lineRule="auto"/>
      <w:ind w:firstLine="40"/>
      <w:jc w:val="right"/>
    </w:pPr>
    <w:r>
      <w:rPr>
        <w:rFonts w:hint="eastAsia" w:ascii="Calibri" w:hAnsi="Calibri" w:eastAsia="Calibri"/>
        <w:color w:val="000000"/>
        <w:sz w:val="21"/>
      </w:rPr>
      <w:t>2024</w:t>
    </w:r>
    <w:r>
      <w:rPr>
        <w:rFonts w:hint="eastAsia" w:ascii="宋体" w:hAnsi="宋体" w:eastAsia="宋体"/>
        <w:color w:val="000000"/>
        <w:sz w:val="21"/>
      </w:rPr>
      <w:t>年社会责任报告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D8FF">
    <w:pPr>
      <w:spacing w:line="191" w:lineRule="auto"/>
      <w:ind w:firstLine="40"/>
      <w:jc w:val="right"/>
    </w:pPr>
    <w:r>
      <w:rPr>
        <w:rFonts w:hint="eastAsia" w:ascii="Calibri" w:hAnsi="Calibri" w:eastAsia="Calibri"/>
        <w:color w:val="000000"/>
        <w:sz w:val="21"/>
      </w:rPr>
      <w:t>2024</w:t>
    </w:r>
    <w:r>
      <w:rPr>
        <w:rFonts w:hint="eastAsia" w:ascii="宋体" w:hAnsi="宋体" w:eastAsia="宋体"/>
        <w:color w:val="000000"/>
        <w:sz w:val="21"/>
      </w:rPr>
      <w:t>年社会责任报告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DA71">
    <w:pPr>
      <w:spacing w:line="191" w:lineRule="auto"/>
      <w:ind w:firstLine="40"/>
      <w:jc w:val="right"/>
    </w:pPr>
    <w:r>
      <w:rPr>
        <w:rFonts w:hint="eastAsia" w:ascii="Calibri" w:hAnsi="Calibri" w:eastAsia="Calibri"/>
        <w:color w:val="000000"/>
        <w:sz w:val="21"/>
      </w:rPr>
      <w:t>2024</w:t>
    </w:r>
    <w:r>
      <w:rPr>
        <w:rFonts w:hint="eastAsia" w:ascii="宋体" w:hAnsi="宋体" w:eastAsia="宋体"/>
        <w:color w:val="000000"/>
        <w:sz w:val="21"/>
      </w:rPr>
      <w:t>年社会责任报告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49941">
    <w:pPr>
      <w:spacing w:line="158" w:lineRule="auto"/>
      <w:ind w:firstLine="100"/>
      <w:jc w:val="right"/>
    </w:pPr>
    <w:r>
      <w:rPr>
        <w:rFonts w:hint="eastAsia" w:ascii="Calibri" w:hAnsi="Calibri" w:eastAsia="Calibri"/>
        <w:color w:val="000000"/>
        <w:sz w:val="21"/>
      </w:rPr>
      <w:t>3034</w:t>
    </w:r>
    <w:r>
      <w:rPr>
        <w:rFonts w:hint="eastAsia" w:ascii="宋体" w:hAnsi="宋体" w:eastAsia="宋体"/>
        <w:color w:val="000000"/>
        <w:sz w:val="21"/>
      </w:rPr>
      <w:t>年社会责在报否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36B5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2792</Words>
  <Characters>2838</Characters>
  <TotalTime>0</TotalTime>
  <ScaleCrop>false</ScaleCrop>
  <LinksUpToDate>false</LinksUpToDate>
  <CharactersWithSpaces>2838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2025-09-07T08:03:32Z</dcterms:created>
  <dc:creator>INTSIG</dc:creator>
  <dc:description>Intsig Word Converter</dc:description>
  <cp:lastModifiedBy>Administrator</cp:lastModifiedBy>
  <dcterms:modified xsi:type="dcterms:W3CDTF">2025-09-07T08:04:39Z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E2B0632D2C8344A6B6ED44B353CEFFAD_13</vt:lpwstr>
  </property>
</Properties>
</file>